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a4"/>
        <w:bidi w:val="0"/>
        <w:ind w:right="1224"/>
        <w:rPr>
          <w:b/>
          <w:bCs/>
          <w:sz w:val="36"/>
          <w:szCs w:val="36"/>
        </w:rPr>
      </w:pPr>
      <w:r>
        <w:rPr>
          <w:b/>
          <w:bCs/>
          <w:sz w:val="36"/>
          <w:szCs w:val="36"/>
          <w:rtl w:val="0"/>
          <w:lang w:val="de"/>
        </w:rPr>
        <w:t>SPIELREGELN</w:t>
      </w:r>
    </w:p>
    <w:p>
      <w:pPr>
        <w:pStyle w:val="a4"/>
        <w:ind w:right="1224"/>
        <w:rPr>
          <w:b/>
          <w:bCs/>
        </w:rPr>
      </w:pPr>
    </w:p>
    <w:p>
      <w:pPr>
        <w:pStyle w:val="a4"/>
        <w:bidi w:val="0"/>
        <w:ind w:right="1224"/>
        <w:rPr>
          <w:b/>
          <w:bCs/>
          <w:sz w:val="24"/>
          <w:szCs w:val="24"/>
        </w:rPr>
      </w:pPr>
      <w:r>
        <w:rPr>
          <w:b/>
          <w:bCs/>
          <w:sz w:val="24"/>
          <w:szCs w:val="24"/>
          <w:rtl w:val="0"/>
          <w:lang w:val="de"/>
        </w:rPr>
        <w:t>KASKADIERENDE GEWINNE</w:t>
      </w:r>
    </w:p>
    <w:p>
      <w:pPr>
        <w:pStyle w:val="a5"/>
        <w:numPr>
          <w:ilvl w:val="0"/>
          <w:numId w:val="2"/>
        </w:numPr>
        <w:bidi w:val="0"/>
        <w:ind w:right="1224"/>
      </w:pPr>
      <w:r>
        <w:rPr>
          <w:rStyle w:val="a"/>
          <w:rFonts w:cs="Calibri"/>
          <w:color w:val="000000"/>
          <w:rtl w:val="0"/>
          <w:lang w:val="de"/>
        </w:rPr>
        <w:t>Während des Basisspiels sind kaskadierende Walzen aktiv, so dass alle Gewinnsymbole nach jeder Gewinnauszahlung von den Walzen entfernt werden, um Platz für neue Symbole zu schaffen. Dies kann dazu führen, dass mehr Combos und mehr Auszahlungen möglich sind.</w:t>
      </w:r>
    </w:p>
    <w:p>
      <w:pPr>
        <w:pStyle w:val="a5"/>
        <w:numPr>
          <w:ilvl w:val="0"/>
          <w:numId w:val="2"/>
        </w:numPr>
        <w:bidi w:val="0"/>
        <w:ind w:right="1224"/>
      </w:pPr>
      <w:r>
        <w:rPr>
          <w:rStyle w:val="a"/>
          <w:rFonts w:cs="Calibri"/>
          <w:color w:val="000000"/>
          <w:rtl w:val="0"/>
          <w:lang w:val="de"/>
        </w:rPr>
        <w:t>Die maximale Anzahl aufeinanderfolgender Kaskaden in einer einzigen Runde ist auf 50 begrenzt.</w:t>
      </w:r>
    </w:p>
    <w:p>
      <w:pPr>
        <w:pStyle w:val="a4"/>
        <w:tabs>
          <w:tab w:val="clear" w:pos="720"/>
        </w:tabs>
        <w:ind w:left="1224" w:right="1224"/>
        <w:rPr>
          <w:b/>
          <w:bCs/>
        </w:rPr>
      </w:pPr>
    </w:p>
    <w:p>
      <w:pPr>
        <w:pStyle w:val="a4"/>
        <w:bidi w:val="0"/>
        <w:ind w:right="1224"/>
        <w:rPr>
          <w:b/>
          <w:bCs/>
          <w:sz w:val="24"/>
          <w:szCs w:val="24"/>
        </w:rPr>
      </w:pPr>
      <w:r>
        <w:rPr>
          <w:b/>
          <w:bCs/>
          <w:sz w:val="24"/>
          <w:szCs w:val="24"/>
          <w:rtl w:val="0"/>
          <w:lang w:val="de"/>
        </w:rPr>
        <w:t>STEIGERNDE GLOBALMULTIPLIKATOREN</w:t>
      </w:r>
    </w:p>
    <w:p>
      <w:pPr>
        <w:pStyle w:val="a5"/>
        <w:numPr>
          <w:ilvl w:val="0"/>
          <w:numId w:val="3"/>
        </w:numPr>
        <w:bidi w:val="0"/>
        <w:ind w:right="1224"/>
      </w:pPr>
      <w:r>
        <w:rPr>
          <w:rStyle w:val="a"/>
          <w:rFonts w:cs="Calibri"/>
          <w:color w:val="000000"/>
          <w:rtl w:val="0"/>
          <w:lang w:val="de"/>
        </w:rPr>
        <w:t xml:space="preserve">Im Spiel erhöht jede gewinnende Kaskade den Globalmultiplikator um x1. Am Ende jeder Kaskade werden alle Liniengewinne mit dem aktuellen Wert des Globalmultiplikators multipliziert. Der Multiplikatorwert wird für jede Spielrunde zurückgesetzt. </w:t>
      </w:r>
    </w:p>
    <w:p>
      <w:pPr>
        <w:pStyle w:val="a5"/>
        <w:numPr>
          <w:ilvl w:val="0"/>
          <w:numId w:val="3"/>
        </w:numPr>
        <w:bidi w:val="0"/>
        <w:ind w:right="1224"/>
      </w:pPr>
      <w:r>
        <w:rPr>
          <w:rStyle w:val="a"/>
          <w:rFonts w:cs="Calibri"/>
          <w:color w:val="000000"/>
          <w:rtl w:val="0"/>
          <w:lang w:val="de"/>
        </w:rPr>
        <w:t xml:space="preserve">Der Globalmultiplikator kann in einer einzigen Runde maximal x15 betragen. </w:t>
      </w:r>
    </w:p>
    <w:p>
      <w:pPr>
        <w:pStyle w:val="a4"/>
        <w:tabs>
          <w:tab w:val="clear" w:pos="720"/>
        </w:tabs>
        <w:ind w:left="1224" w:right="1224"/>
      </w:pPr>
    </w:p>
    <w:p>
      <w:pPr>
        <w:pStyle w:val="a4"/>
        <w:bidi w:val="0"/>
        <w:ind w:right="1224"/>
        <w:rPr>
          <w:b/>
          <w:bCs/>
          <w:sz w:val="24"/>
          <w:szCs w:val="24"/>
        </w:rPr>
      </w:pPr>
      <w:r>
        <w:rPr>
          <w:b/>
          <w:bCs/>
          <w:sz w:val="24"/>
          <w:szCs w:val="24"/>
          <w:rtl w:val="0"/>
          <w:lang w:val="de"/>
        </w:rPr>
        <w:t>WILD WÖLFE FUNKTION</w:t>
      </w:r>
    </w:p>
    <w:p>
      <w:pPr>
        <w:pStyle w:val="a5"/>
        <w:numPr>
          <w:ilvl w:val="0"/>
          <w:numId w:val="4"/>
        </w:numPr>
        <w:bidi w:val="0"/>
        <w:ind w:right="1224"/>
      </w:pPr>
      <w:r>
        <w:rPr>
          <w:rStyle w:val="a"/>
          <w:rFonts w:cs="Calibri"/>
          <w:color w:val="000000"/>
          <w:rtl w:val="0"/>
          <w:lang w:val="de"/>
        </w:rPr>
        <w:t xml:space="preserve">Während des Spiels kann das </w:t>
      </w:r>
      <w:r>
        <w:rPr>
          <w:rStyle w:val="a"/>
          <w:rFonts w:cs="Calibri"/>
          <w:b/>
          <w:bCs/>
          <w:color w:val="000000"/>
          <w:sz w:val="18"/>
          <w:szCs w:val="18"/>
          <w:rtl w:val="0"/>
          <w:lang w:val="de"/>
        </w:rPr>
        <w:t>[Wild Moon image]</w:t>
      </w:r>
      <w:r>
        <w:rPr>
          <w:rStyle w:val="a"/>
          <w:rFonts w:cs="Calibri"/>
          <w:color w:val="000000"/>
          <w:rtl w:val="0"/>
          <w:lang w:val="de"/>
        </w:rPr>
        <w:t xml:space="preserve"> Symbol jederzeit auf den Walzen erscheinen. Nach dem Erscheinen kann es zufällig einen der 4 Wölfe oben auf dem Bildschirm aktivieren. </w:t>
      </w:r>
    </w:p>
    <w:p>
      <w:pPr>
        <w:pStyle w:val="a5"/>
        <w:numPr>
          <w:ilvl w:val="0"/>
          <w:numId w:val="4"/>
        </w:numPr>
        <w:bidi w:val="0"/>
        <w:ind w:right="1224"/>
      </w:pPr>
      <w:r>
        <w:rPr>
          <w:rStyle w:val="a"/>
          <w:rFonts w:cs="Calibri"/>
          <w:color w:val="000000"/>
          <w:rtl w:val="0"/>
          <w:lang w:val="de"/>
        </w:rPr>
        <w:t xml:space="preserve">Aktivierte Wölfe wirken als Wilds, nachdem sie auf dem Bildschirm erschienen sind, bis zum Ende dieser Runde. Mehr als ein Wolf kann für eine einzige Spielrunde aktiviert werden. </w:t>
      </w:r>
    </w:p>
    <w:p>
      <w:pPr>
        <w:pStyle w:val="a5"/>
        <w:numPr>
          <w:ilvl w:val="0"/>
          <w:numId w:val="4"/>
        </w:numPr>
        <w:bidi w:val="0"/>
        <w:ind w:right="1224"/>
      </w:pPr>
      <w:r>
        <w:rPr>
          <w:rStyle w:val="a"/>
          <w:rFonts w:cs="Calibri"/>
          <w:color w:val="000000"/>
          <w:rtl w:val="0"/>
          <w:lang w:val="de"/>
        </w:rPr>
        <w:t xml:space="preserve">Wenn während einer Spielrunde alle Wölfe aktiviert sind, werden alle kommenden </w:t>
      </w:r>
      <w:r>
        <w:rPr>
          <w:rStyle w:val="a"/>
          <w:rFonts w:cs="Calibri"/>
          <w:b/>
          <w:bCs/>
          <w:color w:val="000000"/>
          <w:sz w:val="18"/>
          <w:szCs w:val="18"/>
          <w:rtl w:val="0"/>
          <w:lang w:val="de"/>
        </w:rPr>
        <w:t>[Wild Moon]</w:t>
      </w:r>
      <w:r>
        <w:rPr>
          <w:rStyle w:val="a"/>
          <w:rFonts w:cs="Calibri"/>
          <w:color w:val="000000"/>
          <w:rtl w:val="0"/>
          <w:lang w:val="de"/>
        </w:rPr>
        <w:t>-Symbole, die erscheinen, als reguläre Wilds wirken, da keine anderen Wölfe aktiviert werden können.</w:t>
      </w:r>
    </w:p>
    <w:p>
      <w:pPr>
        <w:pStyle w:val="a4"/>
        <w:tabs>
          <w:tab w:val="clear" w:pos="720"/>
        </w:tabs>
        <w:ind w:left="2160" w:firstLine="720"/>
      </w:pPr>
    </w:p>
    <w:p>
      <w:pPr>
        <w:pStyle w:val="a4"/>
        <w:tabs>
          <w:tab w:val="clear" w:pos="720"/>
        </w:tabs>
        <w:bidi w:val="0"/>
        <w:ind w:left="720"/>
      </w:pPr>
      <w:r>
        <w:rPr>
          <w:rtl w:val="0"/>
          <w:lang w:val="de"/>
        </w:rPr>
        <w:t>Bei Fehlfunktionen im Spiel verfallen alle Zahlungen.</w:t>
      </w:r>
    </w:p>
    <w:p>
      <w:pPr>
        <w:pStyle w:val="a4"/>
        <w:tabs>
          <w:tab w:val="clear" w:pos="720"/>
        </w:tabs>
        <w:ind w:left="1224" w:right="1224"/>
      </w:pPr>
    </w:p>
    <w:p>
      <w:pPr>
        <w:pStyle w:val="a4"/>
        <w:tabs>
          <w:tab w:val="clear" w:pos="720"/>
        </w:tabs>
        <w:ind w:left="720" w:right="1224"/>
      </w:pPr>
    </w:p>
    <w:p>
      <w:pPr>
        <w:pStyle w:val="a4"/>
        <w:tabs>
          <w:tab w:val="clear" w:pos="720"/>
        </w:tabs>
        <w:ind w:left="1224" w:right="1224"/>
      </w:pPr>
      <w:r>
        <w:rPr>
          <w:rStyle w:val="a"/>
          <w:rFonts w:cs="Calibri"/>
        </w:rPr>
        <w:t xml:space="preserve"> </w:t>
      </w:r>
    </w:p>
    <w:sectPr>
      <w:headerReference w:type="default" r:id="rId4"/>
      <w:footerReference w:type="default" r:id="rId5"/>
      <w:type w:val="nextPage"/>
      <w:pgSz w:w="11906" w:h="16838"/>
      <w:pgMar w:top="1440" w:right="1440" w:bottom="1440" w:left="1440" w:header="720" w:footer="72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CC"/>
    <w:family w:val="swiss"/>
    <w:pitch w:val="variable"/>
    <w:sig w:usb0="00000000" w:usb1="00000000" w:usb2="00000000" w:usb3="00000000" w:csb0="00000004" w:csb1="00000000"/>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Courier New">
    <w:charset w:val="CC"/>
    <w:family w:val="modern"/>
    <w:pitch w:val="fixed"/>
  </w:font>
  <w:font w:name="Wingdings">
    <w:charset w:val="02"/>
    <w:family w:val="auto"/>
    <w:pitch w:val="variable"/>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15" w:type="dxa"/>
      <w:jc w:val="left"/>
      <w:tblInd w:w="0" w:type="dxa"/>
      <w:tblLayout w:type="fixed"/>
      <w:tblCellMar>
        <w:top w:w="0" w:type="dxa"/>
        <w:left w:w="108" w:type="dxa"/>
        <w:bottom w:w="0" w:type="dxa"/>
        <w:right w:w="108" w:type="dxa"/>
      </w:tblCellMar>
    </w:tblPr>
    <w:tblGrid>
      <w:gridCol w:w="3005"/>
      <w:gridCol w:w="3005"/>
      <w:gridCol w:w="3005"/>
    </w:tblGrid>
    <w:tr>
      <w:tblPrEx>
        <w:tblW w:w="9015" w:type="dxa"/>
        <w:jc w:val="left"/>
        <w:tblInd w:w="0" w:type="dxa"/>
        <w:tblLayout w:type="fixed"/>
        <w:tblCellMar>
          <w:top w:w="0" w:type="dxa"/>
          <w:left w:w="108" w:type="dxa"/>
          <w:bottom w:w="0" w:type="dxa"/>
          <w:right w:w="108" w:type="dxa"/>
        </w:tblCellMar>
      </w:tblPrEx>
      <w:trPr>
        <w:trHeight w:val="300"/>
        <w:jc w:val="left"/>
      </w:trPr>
      <w:tc>
        <w:tcPr>
          <w:tcW w:w="3005" w:type="dxa"/>
        </w:tcPr>
        <w:p>
          <w:pPr>
            <w:pStyle w:val="a6"/>
            <w:tabs>
              <w:tab w:val="center" w:pos="4680"/>
              <w:tab w:val="right" w:pos="9360"/>
            </w:tabs>
            <w:ind w:left="-115"/>
          </w:pPr>
        </w:p>
      </w:tc>
      <w:tc>
        <w:tcPr>
          <w:tcW w:w="3005" w:type="dxa"/>
        </w:tcPr>
        <w:p>
          <w:pPr>
            <w:pStyle w:val="a6"/>
            <w:jc w:val="center"/>
          </w:pPr>
        </w:p>
      </w:tc>
      <w:tc>
        <w:tcPr>
          <w:tcW w:w="3005" w:type="dxa"/>
        </w:tcPr>
        <w:p>
          <w:pPr>
            <w:pStyle w:val="a6"/>
            <w:ind w:right="-115"/>
            <w:jc w:val="right"/>
          </w:pPr>
        </w:p>
      </w:tc>
    </w:tr>
  </w:tbl>
  <w:p>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15" w:type="dxa"/>
      <w:jc w:val="left"/>
      <w:tblInd w:w="0" w:type="dxa"/>
      <w:tblLayout w:type="fixed"/>
      <w:tblCellMar>
        <w:top w:w="0" w:type="dxa"/>
        <w:left w:w="108" w:type="dxa"/>
        <w:bottom w:w="0" w:type="dxa"/>
        <w:right w:w="108" w:type="dxa"/>
      </w:tblCellMar>
    </w:tblPr>
    <w:tblGrid>
      <w:gridCol w:w="3005"/>
      <w:gridCol w:w="3005"/>
      <w:gridCol w:w="3005"/>
    </w:tblGrid>
    <w:tr>
      <w:tblPrEx>
        <w:tblW w:w="9015" w:type="dxa"/>
        <w:jc w:val="left"/>
        <w:tblInd w:w="0" w:type="dxa"/>
        <w:tblLayout w:type="fixed"/>
        <w:tblCellMar>
          <w:top w:w="0" w:type="dxa"/>
          <w:left w:w="108" w:type="dxa"/>
          <w:bottom w:w="0" w:type="dxa"/>
          <w:right w:w="108" w:type="dxa"/>
        </w:tblCellMar>
      </w:tblPrEx>
      <w:trPr>
        <w:trHeight w:val="300"/>
        <w:jc w:val="left"/>
      </w:trPr>
      <w:tc>
        <w:tcPr>
          <w:tcW w:w="3005" w:type="dxa"/>
        </w:tcPr>
        <w:p>
          <w:pPr>
            <w:pStyle w:val="a6"/>
            <w:tabs>
              <w:tab w:val="center" w:pos="4680"/>
              <w:tab w:val="right" w:pos="9360"/>
            </w:tabs>
            <w:ind w:left="-115"/>
          </w:pPr>
        </w:p>
      </w:tc>
      <w:tc>
        <w:tcPr>
          <w:tcW w:w="3005" w:type="dxa"/>
        </w:tcPr>
        <w:p>
          <w:pPr>
            <w:pStyle w:val="a6"/>
            <w:jc w:val="center"/>
          </w:pPr>
        </w:p>
      </w:tc>
      <w:tc>
        <w:tcPr>
          <w:tcW w:w="3005" w:type="dxa"/>
        </w:tcPr>
        <w:p>
          <w:pPr>
            <w:pStyle w:val="a6"/>
            <w:ind w:right="-115"/>
            <w:jc w:val="right"/>
          </w:pPr>
        </w:p>
      </w:tc>
    </w:tr>
  </w:tbl>
  <w:p>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B97DB"/>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9D78F2A"/>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
    <w:nsid w:val="4C2CB9B4"/>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3F0ECC1"/>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eading2">
    <w:name w:val="Heading 2"/>
    <w:basedOn w:val="a4"/>
    <w:next w:val="a4"/>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customStyle="1" w:styleId="a">
    <w:name w:val="Основной шрифт абзаца"/>
    <w:qFormat/>
  </w:style>
  <w:style w:type="character" w:customStyle="1" w:styleId="a0">
    <w:name w:val="Гиперссылка"/>
    <w:basedOn w:val="a"/>
    <w:qFormat/>
    <w:rPr>
      <w:color w:val="0563C1"/>
      <w:u w:val="single"/>
    </w:rPr>
  </w:style>
  <w:style w:type="character" w:customStyle="1" w:styleId="a1">
    <w:name w:val="Неразрешенное упоминание"/>
    <w:basedOn w:val="a"/>
    <w:qFormat/>
    <w:rPr>
      <w:color w:val="605E5C"/>
      <w:shd w:val="clear" w:color="auto" w:fill="E1DFDD"/>
    </w:rPr>
  </w:style>
  <w:style w:type="character" w:customStyle="1" w:styleId="a2">
    <w:name w:val="Просмотренная гиперссылка"/>
    <w:basedOn w:val="a"/>
    <w:qFormat/>
    <w:rPr>
      <w:color w:val="954F72"/>
      <w:u w:val="single"/>
    </w:rPr>
  </w:style>
  <w:style w:type="character" w:customStyle="1" w:styleId="Heading2Char">
    <w:name w:val="Heading 2 Char"/>
    <w:basedOn w:val="a"/>
    <w:qFormat/>
    <w:rPr>
      <w:rFonts w:ascii="Calibri Light" w:eastAsia="Yu Gothic Light" w:hAnsi="Calibri Light" w:cs="Times New Roman"/>
      <w:color w:val="2F5496"/>
      <w:sz w:val="26"/>
      <w:szCs w:val="26"/>
    </w:rPr>
  </w:style>
  <w:style w:type="character" w:customStyle="1" w:styleId="CommentTextChar">
    <w:name w:val="Comment Text Char"/>
    <w:basedOn w:val="a"/>
    <w:qFormat/>
    <w:rPr>
      <w:sz w:val="20"/>
      <w:szCs w:val="20"/>
    </w:rPr>
  </w:style>
  <w:style w:type="character" w:customStyle="1" w:styleId="CommentReference">
    <w:name w:val="Comment Reference"/>
    <w:basedOn w:val="a"/>
    <w:qFormat/>
    <w:rPr>
      <w:sz w:val="16"/>
      <w:szCs w:val="16"/>
    </w:rPr>
  </w:style>
  <w:style w:type="character" w:customStyle="1" w:styleId="HeaderChar">
    <w:name w:val="Header Char"/>
    <w:basedOn w:val="a"/>
    <w:qFormat/>
  </w:style>
  <w:style w:type="character" w:customStyle="1" w:styleId="FooterChar">
    <w:name w:val="Footer Char"/>
    <w:basedOn w:val="a"/>
    <w:qFormat/>
  </w:style>
  <w:style w:type="character" w:customStyle="1" w:styleId="HeaderChar1">
    <w:name w:val="Header Char1"/>
    <w:basedOn w:val="DefaultParagraphFont"/>
    <w:qFormat/>
  </w:style>
  <w:style w:type="character" w:customStyle="1" w:styleId="FooterChar1">
    <w:name w:val="Footer Char1"/>
    <w:basedOn w:val="DefaultParagraphFont"/>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Symbol" w:hAnsi="Symbol"/>
    </w:rPr>
  </w:style>
  <w:style w:type="character" w:customStyle="1" w:styleId="WWCharLFO2LVL2">
    <w:name w:val="WW_CharLFO2LVL2"/>
    <w:qFormat/>
    <w:rPr>
      <w:rFonts w:ascii="Courier New" w:hAnsi="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rPr>
  </w:style>
  <w:style w:type="character" w:customStyle="1" w:styleId="WWCharLFO3LVL9">
    <w:name w:val="WW_CharLFO3LVL9"/>
    <w:qFormat/>
    <w:rPr>
      <w:rFonts w:ascii="Wingdings" w:hAnsi="Wingdings"/>
    </w:rPr>
  </w:style>
  <w:style w:type="paragraph" w:customStyle="1" w:styleId="Normal1">
    <w:name w:val="Normal1"/>
    <w:qFormat/>
    <w:pPr>
      <w:keepNext w:val="0"/>
      <w:keepLines w:val="0"/>
      <w:pageBreakBefore w:val="0"/>
      <w:widowControl/>
      <w:shd w:val="clear" w:color="auto" w:fill="auto"/>
      <w:suppressAutoHyphens w:val="0"/>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customStyle="1" w:styleId="a3">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a4">
    <w:name w:val="Обычный"/>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customStyle="1" w:styleId="a5">
    <w:name w:val="Абзац списка"/>
    <w:basedOn w:val="a4"/>
    <w:qFormat/>
    <w:pPr>
      <w:tabs>
        <w:tab w:val="clear" w:pos="720"/>
      </w:tabs>
      <w:suppressAutoHyphens/>
      <w:spacing w:before="0" w:after="160"/>
      <w:ind w:left="720"/>
      <w:contextualSpacing/>
    </w:pPr>
  </w:style>
  <w:style w:type="paragraph" w:customStyle="1" w:styleId="Body">
    <w:name w:val="Body"/>
    <w:basedOn w:val="a4"/>
    <w:qFormat/>
    <w:pPr>
      <w:tabs>
        <w:tab w:val="clear" w:pos="720"/>
      </w:tabs>
      <w:suppressAutoHyphens/>
      <w:spacing w:before="0" w:after="0"/>
      <w:ind w:left="578"/>
      <w:jc w:val="both"/>
    </w:pPr>
    <w:rPr>
      <w:rFonts w:ascii="Arial" w:eastAsia="Arial Unicode MS" w:hAnsi="Arial" w:cs="Arial Unicode MS"/>
      <w:color w:val="000000"/>
      <w:lang w:eastAsia="en-GB"/>
    </w:rPr>
  </w:style>
  <w:style w:type="paragraph" w:customStyle="1" w:styleId="CommentText">
    <w:name w:val="Comment Text"/>
    <w:basedOn w:val="a4"/>
    <w:qFormat/>
    <w:pPr>
      <w:suppressAutoHyphens/>
    </w:pPr>
    <w:rPr>
      <w:sz w:val="20"/>
      <w:szCs w:val="20"/>
    </w:rPr>
  </w:style>
  <w:style w:type="paragraph" w:customStyle="1" w:styleId="a6">
    <w:name w:val="Верхний колонтитул"/>
    <w:basedOn w:val="a4"/>
    <w:qFormat/>
    <w:pPr>
      <w:tabs>
        <w:tab w:val="clear" w:pos="720"/>
        <w:tab w:val="center" w:pos="4680"/>
        <w:tab w:val="right" w:pos="9360"/>
      </w:tabs>
      <w:suppressAutoHyphens/>
      <w:spacing w:before="0" w:after="0"/>
    </w:pPr>
  </w:style>
  <w:style w:type="paragraph" w:customStyle="1" w:styleId="a7">
    <w:name w:val="Нижний колонтитул"/>
    <w:basedOn w:val="a4"/>
    <w:qFormat/>
    <w:pPr>
      <w:tabs>
        <w:tab w:val="clear" w:pos="720"/>
        <w:tab w:val="center" w:pos="4680"/>
        <w:tab w:val="right" w:pos="9360"/>
      </w:tabs>
      <w:suppressAutoHyphens/>
      <w:spacing w:before="0" w:after="0"/>
    </w:pPr>
  </w:style>
  <w:style w:type="paragraph" w:customStyle="1" w:styleId="a8">
    <w:name w:val="Верхній і нижній колонтитули"/>
    <w:basedOn w:val="Normal"/>
    <w:qFormat/>
    <w:pPr>
      <w:suppressLineNumbers/>
      <w:tabs>
        <w:tab w:val="clear" w:pos="720"/>
        <w:tab w:val="center" w:pos="4819"/>
        <w:tab w:val="right" w:pos="9638"/>
      </w:tabs>
    </w:pPr>
  </w:style>
  <w:style w:type="paragraph" w:customStyle="1" w:styleId="Header">
    <w:name w:val="Header"/>
    <w:basedOn w:val="Normal1"/>
    <w:pPr>
      <w:tabs>
        <w:tab w:val="clear" w:pos="720"/>
        <w:tab w:val="center" w:pos="4680"/>
        <w:tab w:val="right" w:pos="9360"/>
      </w:tabs>
      <w:suppressAutoHyphens w:val="0"/>
      <w:spacing w:before="0" w:after="0"/>
    </w:pPr>
  </w:style>
  <w:style w:type="paragraph" w:customStyle="1" w:styleId="Footer">
    <w:name w:val="Footer"/>
    <w:basedOn w:val="Normal1"/>
    <w:pPr>
      <w:tabs>
        <w:tab w:val="clear" w:pos="720"/>
        <w:tab w:val="center" w:pos="4680"/>
        <w:tab w:val="right" w:pos="9360"/>
      </w:tabs>
      <w:suppressAutoHyphens w:val="0"/>
      <w:spacing w:before="0" w:after="0"/>
    </w:pPr>
  </w:style>
  <w:style w:type="paragraph" w:customStyle="1" w:styleId="a9">
    <w:name w:val="Вміст таблиці"/>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5E019160-6E1B-4EAD-93CC-8208686752F3}"/>
</file>

<file path=customXml/itemProps2.xml><?xml version="1.0" encoding="utf-8"?>
<ds:datastoreItem xmlns:ds="http://schemas.openxmlformats.org/officeDocument/2006/customXml" ds:itemID="{71EC5D2D-4A41-45F6-A422-96AC13763EA0}"/>
</file>

<file path=customXml/itemProps3.xml><?xml version="1.0" encoding="utf-8"?>
<ds:datastoreItem xmlns:ds="http://schemas.openxmlformats.org/officeDocument/2006/customXml" ds:itemID="{A99AEB69-A8F6-4F6E-A85A-421B3A32234D}"/>
</file>

<file path=docProps/app.xml><?xml version="1.0" encoding="utf-8"?>
<Properties xmlns="http://schemas.openxmlformats.org/officeDocument/2006/extended-properties" xmlns:vt="http://schemas.openxmlformats.org/officeDocument/2006/docPropsVTypes">
  <TotalTime>0</TotalTime>
  <Pages>1</Pages>
  <Words>177</Words>
  <Characters>1015</Characters>
  <Application>Microsoft Office Word</Application>
  <DocSecurity>0</DocSecurity>
  <Lines>0</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2024-10-24T14:56:00Z</dcterms:created>
  <dc:creator>David Stoveld</dc:creator>
  <dc:description/>
  <dc:language>uk-UA</dc:language>
  <cp:lastModifiedBy>Mert Mazmanci</cp:lastModifiedBy>
  <dcterms:modified xsi:type="dcterms:W3CDTF">2024-10-24T14:56:00Z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