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bidi w:val="0"/>
      </w:pPr>
      <w:r>
        <w:rPr>
          <w:rStyle w:val="DefaultParagraphFont"/>
          <w:i/>
          <w:iCs/>
          <w:sz w:val="26"/>
          <w:szCs w:val="26"/>
          <w:rtl w:val="0"/>
          <w:lang w:val="de"/>
        </w:rPr>
        <w:t xml:space="preserve">Hot Hot Balloons </w:t>
      </w:r>
    </w:p>
    <w:p>
      <w:pPr>
        <w:pStyle w:val="Normal1"/>
        <w:bidi w:val="0"/>
      </w:pPr>
      <w:r>
        <w:rPr>
          <w:rStyle w:val="DefaultParagraphFont"/>
          <w:b/>
          <w:bCs/>
          <w:rtl w:val="0"/>
          <w:lang w:val="de"/>
        </w:rPr>
        <w:t>Hot Hot Balloons</w:t>
      </w:r>
      <w:r>
        <w:rPr>
          <w:rStyle w:val="DefaultParagraphFont"/>
          <w:rFonts w:cs="Calibri"/>
          <w:color w:val="000000"/>
          <w:rtl w:val="0"/>
          <w:lang w:val="de"/>
        </w:rPr>
        <w:t xml:space="preserve"> ist ein Videoslot mit 7 Walzen und 7 Reihen, der mit kaskadierenden Walzen, Frei-Spins und einer Goldene Wette-Option ausgestattet ist, um die Chance auf Freispiele und Kaufbonusoptionen zu erhöhen. Um zu gewinnen, müssen 5 oder mehr übereinstimmende Symbole in einer Reihe erscheinen, horizontal oder vertikal, solange sie sich berühren. </w:t>
      </w: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de"/>
        </w:rPr>
        <w:t>Kaskadierende Gewinne</w:t>
      </w:r>
    </w:p>
    <w:p>
      <w:pPr>
        <w:pStyle w:val="Normal1"/>
        <w:bidi w:val="0"/>
      </w:pPr>
      <w:r>
        <w:rPr>
          <w:rStyle w:val="DefaultParagraphFont"/>
          <w:rFonts w:cs="Calibri"/>
          <w:color w:val="000000"/>
          <w:rtl w:val="0"/>
          <w:lang w:val="de"/>
        </w:rPr>
        <w:t>Während des Basisspiels sind kaskadierende Walzen aktiv, so dass alle Gewinnsymbole nach jeder Gewinnauszahlung von den Walzen entfernt werden, um Platz für neue Symbole zu schaffen. Dies kann dazu führen, dass mehr Combos und mehr Auszahlungen möglich sind. Die theoretische Grenze der Kaskadierung liegt bei 100 Kaskaden.</w:t>
      </w:r>
    </w:p>
    <w:p>
      <w:pPr>
        <w:pStyle w:val="Normal1"/>
        <w:bidi w:val="0"/>
        <w:rPr>
          <w:rFonts w:cs="Calibri"/>
          <w:color w:val="000000"/>
        </w:rPr>
      </w:pPr>
      <w:r>
        <w:rPr>
          <w:rFonts w:cs="Calibri"/>
          <w:color w:val="000000"/>
          <w:rtl w:val="0"/>
          <w:lang w:val="de"/>
        </w:rPr>
        <w:t xml:space="preserve">Bei kaskadierenden Walzen aktiviert der erste Gewinn die Gewinnpositionen. Ein weiterer Gewinn auf einer aktivierten Position führt zu einem 2x-Multiplikator im selben Spin. Ein weiterer Gewinn im selben Spiel bei einem 2x-Multiplikator verdoppelt den Multiplikator auf 4x, ein weiterer Gewinn bei 4x verdoppelt den Multiplikator auf 8x und so weiter. </w:t>
      </w:r>
    </w:p>
    <w:p>
      <w:pPr>
        <w:pStyle w:val="Normal1"/>
        <w:bidi w:val="0"/>
      </w:pPr>
      <w:r>
        <w:rPr>
          <w:rStyle w:val="DefaultParagraphFont"/>
          <w:rFonts w:cs="Calibri"/>
          <w:color w:val="000000"/>
          <w:rtl w:val="0"/>
          <w:lang w:val="de"/>
        </w:rPr>
        <w:t xml:space="preserve">Die Multiplikatoren während des Spiels sind begrenzt auf </w:t>
      </w:r>
      <w:r>
        <w:rPr>
          <w:rStyle w:val="DefaultParagraphFont"/>
          <w:rFonts w:cs="Calibri"/>
          <w:color w:val="00B050"/>
          <w:rtl w:val="0"/>
          <w:lang w:val="de"/>
        </w:rPr>
        <w:t>128x.</w:t>
      </w:r>
      <w:r>
        <w:rPr>
          <w:rStyle w:val="DefaultParagraphFont"/>
          <w:rFonts w:cs="Calibri"/>
          <w:color w:val="000000"/>
          <w:rtl w:val="0"/>
          <w:lang w:val="de"/>
        </w:rPr>
        <w:t xml:space="preserve"> Sie können höchstens bis zu </w:t>
      </w:r>
      <w:r>
        <w:rPr>
          <w:rStyle w:val="DefaultParagraphFont"/>
          <w:rFonts w:cs="Calibri"/>
          <w:color w:val="00B050"/>
          <w:rtl w:val="0"/>
          <w:lang w:val="de"/>
        </w:rPr>
        <w:t>128x</w:t>
      </w:r>
      <w:r>
        <w:rPr>
          <w:rStyle w:val="DefaultParagraphFont"/>
          <w:rFonts w:cs="Calibri"/>
          <w:color w:val="000000"/>
          <w:rtl w:val="0"/>
          <w:lang w:val="de"/>
        </w:rPr>
        <w:t xml:space="preserve"> gehen.</w:t>
      </w:r>
    </w:p>
    <w:p>
      <w:pPr>
        <w:pStyle w:val="Normal1"/>
        <w:rPr>
          <w:rFonts w:cs="Calibri"/>
          <w:color w:val="000000"/>
        </w:rPr>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de"/>
        </w:rPr>
        <w:t>Frei-Spins</w:t>
      </w:r>
    </w:p>
    <w:p>
      <w:pPr>
        <w:pStyle w:val="Normal1"/>
        <w:bidi w:val="0"/>
      </w:pPr>
      <w:r>
        <w:rPr>
          <w:rtl w:val="0"/>
          <w:lang w:val="de"/>
        </w:rPr>
        <w:t>Wenn im Basisspiel 3 [Scatter] erscheinen, werden 10 Frei-Spins vergeben. Während der Frei-Spins ist die Kaskadenfunktion der Walzen wie im Basisspiel aktiv. Außerdem bleiben die Multiplikatoren auf den Walzen während der Frei-Spins bestehen. Daher kann jeder Gewinn den vorherigen Multiplikator auf den Gewinnlinien während der Frei-Spins verdoppeln.</w:t>
      </w:r>
    </w:p>
    <w:p>
      <w:pPr>
        <w:pStyle w:val="Normal1"/>
        <w:bidi w:val="0"/>
      </w:pPr>
      <w:r>
        <w:rPr>
          <w:rtl w:val="0"/>
          <w:lang w:val="de"/>
        </w:rPr>
        <w:t>Frei-Spins können erneut ausgelöst werden, wenn 3 [Scatter] landen, die zusätzliche 10 Frei-Spins gewähren.</w:t>
      </w:r>
    </w:p>
    <w:p>
      <w:pPr>
        <w:pStyle w:val="Normal1"/>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de"/>
        </w:rPr>
        <w:t>Super-Frei-Spins</w:t>
      </w:r>
    </w:p>
    <w:p>
      <w:pPr>
        <w:pStyle w:val="Normal1"/>
        <w:bidi w:val="0"/>
      </w:pPr>
      <w:r>
        <w:rPr>
          <w:rtl w:val="0"/>
          <w:lang w:val="de"/>
        </w:rPr>
        <w:t xml:space="preserve">Super-Frei-Spins können ausgelöst werden, wenn der Goldene Wette aktiv ist. Wenn 3 [Scatter] bei aktiviertem Goldene Wette landen, werden 10 Frei-Spins vergeben. Alle Walzen in den Super-Frei-Spins beginnen bereits mit 2x-Multiplikatoren. Multiplikatoren können mit Gewinnen verdoppelt werden, maximal bis zu </w:t>
      </w:r>
      <w:r>
        <w:rPr>
          <w:rStyle w:val="DefaultParagraphFont"/>
          <w:rFonts w:cs="Calibri"/>
          <w:color w:val="00B050"/>
          <w:rtl w:val="0"/>
          <w:lang w:val="de"/>
        </w:rPr>
        <w:t>128x</w:t>
      </w:r>
      <w:r>
        <w:rPr>
          <w:rtl w:val="0"/>
          <w:lang w:val="de"/>
        </w:rPr>
        <w:t xml:space="preserve">. </w:t>
      </w:r>
    </w:p>
    <w:p>
      <w:pPr>
        <w:pStyle w:val="Normal1"/>
        <w:bidi w:val="0"/>
      </w:pPr>
      <w:r>
        <w:rPr>
          <w:rtl w:val="0"/>
          <w:lang w:val="de"/>
        </w:rPr>
        <w:t>Super-Frei-Spins können auch über Bonus kaufen ausgelöst werden.</w:t>
      </w:r>
    </w:p>
    <w:p>
      <w:pPr>
        <w:pStyle w:val="Normal1"/>
      </w:pPr>
    </w:p>
    <w:p>
      <w:pPr>
        <w:pStyle w:val="Heading2"/>
        <w:tabs>
          <w:tab w:val="left" w:pos="0"/>
          <w:tab w:val="clear" w:pos="720"/>
        </w:tabs>
        <w:bidi w:val="0"/>
        <w:ind w:left="0" w:firstLine="0"/>
        <w:rPr>
          <w:rFonts w:eastAsia="Calibri Light" w:cs="Calibri Light"/>
          <w:sz w:val="25"/>
          <w:szCs w:val="25"/>
        </w:rPr>
      </w:pPr>
      <w:r>
        <w:rPr>
          <w:rFonts w:eastAsia="Calibri Light" w:cs="Calibri Light"/>
          <w:sz w:val="25"/>
          <w:szCs w:val="25"/>
          <w:rtl w:val="0"/>
          <w:lang w:val="de"/>
        </w:rPr>
        <w:t>Goldene Wette</w:t>
      </w:r>
    </w:p>
    <w:p>
      <w:pPr>
        <w:pStyle w:val="Normal1"/>
        <w:rPr>
          <w:rFonts w:cs="Calibri"/>
          <w:color w:val="000000"/>
        </w:rPr>
      </w:pPr>
    </w:p>
    <w:p>
      <w:pPr>
        <w:pStyle w:val="Normal1"/>
        <w:bidi w:val="0"/>
      </w:pPr>
      <w:r>
        <w:rPr>
          <w:rStyle w:val="DefaultParagraphFont"/>
          <w:rFonts w:cs="Calibri"/>
          <w:color w:val="000000"/>
          <w:rtl w:val="0"/>
          <w:lang w:val="de"/>
        </w:rPr>
        <w:t xml:space="preserve">Goldene Wette ist während des Basisspiels aktiv. Einmal aktiviert, </w:t>
      </w:r>
      <w:r>
        <w:rPr>
          <w:rStyle w:val="DefaultParagraphFont"/>
          <w:rFonts w:cs="Calibri"/>
          <w:color w:val="00B050"/>
          <w:rtl w:val="0"/>
          <w:lang w:val="de"/>
        </w:rPr>
        <w:t>können Frei-Spins während des Basisspiels häufiger ausgelöst werden</w:t>
      </w:r>
      <w:r>
        <w:rPr>
          <w:rStyle w:val="DefaultParagraphFont"/>
          <w:rFonts w:cs="Calibri"/>
          <w:color w:val="000000"/>
          <w:rtl w:val="0"/>
          <w:lang w:val="de"/>
        </w:rPr>
        <w:t xml:space="preserve">. Wenn außerdem während der Goldene Wette-Aktivierung Frei-Spins ausgelöst werden, beginnen alle Gitter in den Frei-Spins mit einem 2x-Multiplikator und können bis zu </w:t>
      </w:r>
      <w:r>
        <w:rPr>
          <w:rStyle w:val="DefaultParagraphFont"/>
          <w:rFonts w:cs="Calibri"/>
          <w:color w:val="00B050"/>
          <w:rtl w:val="0"/>
          <w:lang w:val="de"/>
        </w:rPr>
        <w:t>128x</w:t>
      </w:r>
      <w:r>
        <w:rPr>
          <w:rStyle w:val="DefaultParagraphFont"/>
          <w:rFonts w:cs="Calibri"/>
          <w:color w:val="000000"/>
          <w:rtl w:val="0"/>
          <w:lang w:val="de"/>
        </w:rPr>
        <w:t xml:space="preserve"> sein.</w:t>
      </w:r>
    </w:p>
    <w:p>
      <w:pPr>
        <w:pStyle w:val="Normal1"/>
        <w:bidi w:val="0"/>
        <w:rPr>
          <w:rFonts w:cs="Calibri"/>
          <w:color w:val="000000"/>
        </w:rPr>
      </w:pPr>
      <w:r>
        <w:rPr>
          <w:rFonts w:cs="Calibri"/>
          <w:color w:val="000000"/>
          <w:rtl w:val="0"/>
          <w:lang w:val="de"/>
        </w:rPr>
        <w:t xml:space="preserve">Die Aktivierung des Goldene Wette kostet 2x den aktuellen Gesamteinsatz. </w:t>
      </w:r>
    </w:p>
    <w:p>
      <w:pPr>
        <w:pStyle w:val="Normal1"/>
      </w:pPr>
      <w:r>
        <w:rPr>
          <w:rStyle w:val="DefaultParagraphFont"/>
          <w:rFonts w:cs="Calibri"/>
        </w:rPr>
        <w:t xml:space="preserve"> </w:t>
      </w:r>
    </w:p>
    <w:p>
      <w:pPr>
        <w:pStyle w:val="Normal1"/>
        <w:bidi w:val="0"/>
        <w:rPr>
          <w:rFonts w:ascii="Calibri Light" w:eastAsia="Calibri Light" w:hAnsi="Calibri Light" w:cs="Calibri Light"/>
          <w:color w:val="2F5496"/>
          <w:sz w:val="25"/>
          <w:szCs w:val="25"/>
        </w:rPr>
      </w:pPr>
      <w:r>
        <w:rPr>
          <w:rFonts w:ascii="Calibri Light" w:eastAsia="Calibri Light" w:hAnsi="Calibri Light" w:cs="Calibri Light"/>
          <w:color w:val="2F5496"/>
          <w:sz w:val="25"/>
          <w:szCs w:val="25"/>
          <w:rtl w:val="0"/>
          <w:lang w:val="de"/>
        </w:rPr>
        <w:t xml:space="preserve">Frei-Spins kaufen </w:t>
      </w:r>
    </w:p>
    <w:p>
      <w:pPr>
        <w:pStyle w:val="Normal1"/>
        <w:bidi w:val="0"/>
      </w:pPr>
      <w:r>
        <w:rPr>
          <w:rStyle w:val="DefaultParagraphFont"/>
          <w:rFonts w:cs="Calibri"/>
          <w:color w:val="000000"/>
          <w:rtl w:val="0"/>
          <w:lang w:val="de"/>
        </w:rPr>
        <w:t xml:space="preserve">Drücke auf die Schaltfläche [Frei-Spins Kaufen], um den Bildschirm zur Bestätigung des Bonuskaufs aufzurufen. Wähle den Einsatz für den bonus und bestätige ihn mit [Kaufen], um die frei-spins automatisch auszulösen.  </w:t>
      </w:r>
    </w:p>
    <w:p>
      <w:pPr>
        <w:pStyle w:val="Normal1"/>
        <w:bidi w:val="0"/>
        <w:rPr>
          <w:rFonts w:cs="Calibri"/>
          <w:color w:val="000000"/>
        </w:rPr>
      </w:pPr>
      <w:r>
        <w:rPr>
          <w:rFonts w:cs="Calibri"/>
          <w:color w:val="000000"/>
          <w:rtl w:val="0"/>
          <w:lang w:val="de"/>
        </w:rPr>
        <w:t xml:space="preserve">[Frei-Spins kaufen] hat zwei Optionen. </w:t>
      </w:r>
    </w:p>
    <w:p>
      <w:pPr>
        <w:pStyle w:val="Normal1"/>
        <w:bidi w:val="0"/>
      </w:pPr>
      <w:r>
        <w:rPr>
          <w:rStyle w:val="DefaultParagraphFont"/>
          <w:rFonts w:cs="Calibri"/>
          <w:color w:val="000000"/>
          <w:rtl w:val="0"/>
          <w:lang w:val="de"/>
        </w:rPr>
        <w:t xml:space="preserve">Der RTP des Kaufbonus beträgt </w:t>
      </w:r>
      <w:r>
        <w:rPr>
          <w:rStyle w:val="DefaultParagraphFont"/>
          <w:rFonts w:cs="Calibri"/>
          <w:color w:val="242424"/>
          <w:rtl w:val="0"/>
          <w:lang w:val="de"/>
        </w:rPr>
        <w:t>{0}</w:t>
      </w:r>
      <w:r>
        <w:rPr>
          <w:rStyle w:val="DefaultParagraphFont"/>
          <w:rFonts w:cs="Calibri"/>
          <w:color w:val="000000"/>
          <w:rtl w:val="0"/>
          <w:lang w:val="de"/>
        </w:rPr>
        <w:t xml:space="preserve"> % für den regulären Einsatz. Er kostet das </w:t>
      </w:r>
      <w:r>
        <w:rPr>
          <w:rStyle w:val="DefaultParagraphFont"/>
          <w:rFonts w:cs="Calibri"/>
          <w:color w:val="00B050"/>
          <w:rtl w:val="0"/>
          <w:lang w:val="de"/>
        </w:rPr>
        <w:t>80x</w:t>
      </w:r>
      <w:r>
        <w:rPr>
          <w:rStyle w:val="DefaultParagraphFont"/>
          <w:rFonts w:cs="Calibri"/>
          <w:color w:val="000000"/>
          <w:rtl w:val="0"/>
          <w:lang w:val="de"/>
        </w:rPr>
        <w:t xml:space="preserve"> des aktuellen Gesamteinsatzes.</w:t>
      </w:r>
    </w:p>
    <w:p>
      <w:pPr>
        <w:pStyle w:val="Normal1"/>
        <w:bidi w:val="0"/>
      </w:pPr>
      <w:r>
        <w:rPr>
          <w:rStyle w:val="DefaultParagraphFont"/>
          <w:rFonts w:cs="Calibri"/>
          <w:color w:val="000000"/>
          <w:rtl w:val="0"/>
          <w:lang w:val="de"/>
        </w:rPr>
        <w:t xml:space="preserve">Der RTP des Kaufbonus beträgt </w:t>
      </w:r>
      <w:r>
        <w:rPr>
          <w:rStyle w:val="DefaultParagraphFont"/>
          <w:rFonts w:cs="Calibri"/>
          <w:color w:val="242424"/>
          <w:rtl w:val="0"/>
          <w:lang w:val="de"/>
        </w:rPr>
        <w:t>{0}</w:t>
      </w:r>
      <w:r>
        <w:rPr>
          <w:rStyle w:val="DefaultParagraphFont"/>
          <w:rFonts w:cs="Calibri"/>
          <w:color w:val="000000"/>
          <w:rtl w:val="0"/>
          <w:lang w:val="de"/>
        </w:rPr>
        <w:t xml:space="preserve"> % für den Goldene Wette. Er kostet das </w:t>
      </w:r>
      <w:r>
        <w:rPr>
          <w:rStyle w:val="DefaultParagraphFont"/>
          <w:rFonts w:cs="Calibri"/>
          <w:color w:val="00B050"/>
          <w:rtl w:val="0"/>
          <w:lang w:val="de"/>
        </w:rPr>
        <w:t>160x</w:t>
      </w:r>
      <w:r>
        <w:rPr>
          <w:rStyle w:val="DefaultParagraphFont"/>
          <w:rFonts w:cs="Calibri"/>
          <w:color w:val="000000"/>
          <w:rtl w:val="0"/>
          <w:lang w:val="de"/>
        </w:rPr>
        <w:t xml:space="preserve"> des aktuellen Gesamteinsatzes.</w:t>
      </w:r>
    </w:p>
    <w:p>
      <w:pPr>
        <w:pStyle w:val="Normal1"/>
        <w:bidi w:val="0"/>
      </w:pPr>
      <w:r>
        <w:rPr>
          <w:rStyle w:val="DefaultParagraphFont"/>
          <w:rFonts w:eastAsia="Yu Mincho" w:cs="Arial"/>
          <w:color w:val="242424"/>
          <w:rtl w:val="0"/>
          <w:lang w:val="de"/>
        </w:rPr>
        <w:t>Die Kauffunktion ist möglicherweise nicht auf allen Märkten verfügbar.</w:t>
      </w:r>
    </w:p>
    <w:p>
      <w:pPr>
        <w:pStyle w:val="Heading2"/>
        <w:tabs>
          <w:tab w:val="left" w:pos="0"/>
          <w:tab w:val="clear" w:pos="720"/>
        </w:tabs>
        <w:ind w:left="0" w:firstLine="0"/>
        <w:rPr>
          <w:rFonts w:eastAsia="Calibri Light" w:cs="Calibri Light"/>
          <w:sz w:val="25"/>
          <w:szCs w:val="25"/>
        </w:rPr>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de"/>
        </w:rPr>
        <w:t>GEWINNGRENZE</w:t>
      </w:r>
    </w:p>
    <w:p>
      <w:pPr>
        <w:pStyle w:val="Normal1"/>
        <w:bidi w:val="0"/>
      </w:pPr>
      <w:r>
        <w:rPr>
          <w:rtl w:val="0"/>
          <w:lang w:val="de"/>
        </w:rPr>
        <w:t>Hot Hot Balloons hat eine Gewinnobergrenze vom 10,000x des aktuellen Einsatzes. Der Maximalgewinn kann durch das Auslösen bestimmter Kombinationen und/oder Funktionen erreicht werden. Sobald der Maximalgewinn während der Frei-Spins erreicht ist, wird der Gewinnbetrag ausgezahlt, die Frei-Spins-</w:t>
      </w:r>
      <w:bookmarkStart w:id="0" w:name="_Int_HQTcv2Gy"/>
      <w:r>
        <w:rPr>
          <w:rtl w:val="0"/>
          <w:lang w:val="de"/>
        </w:rPr>
        <w:t>Runde</w:t>
      </w:r>
      <w:bookmarkEnd w:id="0"/>
      <w:r>
        <w:rPr>
          <w:rtl w:val="0"/>
          <w:lang w:val="de"/>
        </w:rPr>
        <w:t xml:space="preserve"> endet sofort und das Spiel kehrt zum Basisspiel zurück.</w:t>
      </w:r>
    </w:p>
    <w:p>
      <w:pPr>
        <w:pStyle w:val="Normal1"/>
      </w:pPr>
    </w:p>
    <w:p>
      <w:pPr>
        <w:pStyle w:val="Heading2"/>
        <w:tabs>
          <w:tab w:val="left" w:pos="0"/>
          <w:tab w:val="clear" w:pos="720"/>
        </w:tabs>
        <w:bidi w:val="0"/>
        <w:ind w:left="0" w:firstLine="0"/>
      </w:pPr>
      <w:r>
        <w:rPr>
          <w:rStyle w:val="DefaultParagraphFont"/>
          <w:rFonts w:eastAsia="Calibri Light" w:cs="Calibri Light"/>
          <w:sz w:val="25"/>
          <w:szCs w:val="25"/>
          <w:rtl w:val="0"/>
          <w:lang w:val="de"/>
        </w:rPr>
        <w:t>Spiel RTP</w:t>
      </w:r>
    </w:p>
    <w:p>
      <w:pPr>
        <w:pStyle w:val="Normal1"/>
        <w:bidi w:val="0"/>
      </w:pPr>
      <w:r>
        <w:rPr>
          <w:rStyle w:val="DefaultParagraphFont"/>
          <w:rFonts w:cs="Calibri"/>
          <w:rtl w:val="0"/>
          <w:lang w:val="de"/>
        </w:rPr>
        <w:t xml:space="preserve"> Die RTP von Hot Hot Balloons beträgt </w:t>
      </w:r>
      <w:r>
        <w:rPr>
          <w:rStyle w:val="DefaultParagraphFont"/>
          <w:rFonts w:cs="Calibri"/>
          <w:color w:val="242424"/>
          <w:rtl w:val="0"/>
          <w:lang w:val="de"/>
        </w:rPr>
        <w:t>{0}</w:t>
      </w:r>
      <w:r>
        <w:rPr>
          <w:rStyle w:val="DefaultParagraphFont"/>
          <w:rFonts w:cs="Calibri"/>
          <w:rtl w:val="0"/>
          <w:lang w:val="de"/>
        </w:rPr>
        <w:t> %.</w:t>
      </w:r>
    </w:p>
    <w:p>
      <w:pPr>
        <w:pStyle w:val="Normal1"/>
        <w:bidi w:val="0"/>
      </w:pPr>
      <w:r>
        <w:rPr>
          <w:rStyle w:val="DefaultParagraphFont"/>
          <w:rFonts w:cs="Calibri"/>
          <w:rtl w:val="0"/>
          <w:lang w:val="de"/>
        </w:rPr>
        <w:t xml:space="preserve">Wenn du dich für die Goldene Wette-Frei-Spins entscheidest, beträgt die RTP </w:t>
      </w:r>
      <w:r>
        <w:rPr>
          <w:rStyle w:val="DefaultParagraphFont"/>
          <w:rFonts w:cs="Calibri"/>
          <w:color w:val="242424"/>
          <w:rtl w:val="0"/>
          <w:lang w:val="de"/>
        </w:rPr>
        <w:t>{0}</w:t>
      </w:r>
      <w:r>
        <w:rPr>
          <w:rStyle w:val="DefaultParagraphFont"/>
          <w:rFonts w:cs="Calibri"/>
          <w:rtl w:val="0"/>
          <w:lang w:val="de"/>
        </w:rPr>
        <w:t xml:space="preserve"> %. </w:t>
      </w:r>
    </w:p>
    <w:p>
      <w:pPr>
        <w:pStyle w:val="Normal1"/>
        <w:spacing w:before="0" w:after="0"/>
        <w:rPr>
          <w:rFonts w:cs="Calibri"/>
        </w:rPr>
      </w:pPr>
    </w:p>
    <w:p>
      <w:pPr>
        <w:pStyle w:val="Normal1"/>
        <w:bidi w:val="0"/>
        <w:spacing w:before="0" w:after="0"/>
        <w:rPr>
          <w:rFonts w:cs="Calibri"/>
        </w:rPr>
      </w:pPr>
      <w:r>
        <w:rPr>
          <w:rFonts w:cs="Calibri"/>
          <w:rtl w:val="0"/>
          <w:lang w:val="de"/>
        </w:rPr>
        <w:t>MINDESEINSATZ: 0,20 €</w:t>
      </w:r>
    </w:p>
    <w:p>
      <w:pPr>
        <w:pStyle w:val="Normal1"/>
        <w:bidi w:val="0"/>
        <w:spacing w:before="0" w:after="0"/>
        <w:rPr>
          <w:rFonts w:cs="Calibri"/>
        </w:rPr>
      </w:pPr>
      <w:r>
        <w:rPr>
          <w:rFonts w:cs="Calibri"/>
          <w:rtl w:val="0"/>
          <w:lang w:val="de"/>
        </w:rPr>
        <w:t>MAXIMALEINSATZ: 100,00 €</w:t>
      </w:r>
    </w:p>
    <w:p>
      <w:pPr>
        <w:pStyle w:val="Normal1"/>
      </w:pPr>
    </w:p>
    <w:p>
      <w:pPr>
        <w:pStyle w:val="Normal1"/>
        <w:rPr>
          <w:rFonts w:eastAsia="Yu Mincho" w:cs="Arial"/>
          <w:color w:val="242424"/>
        </w:rPr>
      </w:pPr>
    </w:p>
    <w:sectPr>
      <w:type w:val="nextPage"/>
      <w:pgSz w:w="11906" w:h="16838"/>
      <w:pgMar w:top="1440" w:right="1440" w:bottom="1440" w:left="1440" w:header="0" w:footer="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Liberation Sans">
    <w:altName w:val="Arial"/>
    <w:charset w:val="CC"/>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1E2832"/>
    <w:multiLevelType w:val="hybridMultilevel"/>
    <w:tmpl w:val="00000000"/>
    <w:lvl w:ilvl="0">
      <w:start w:val="1"/>
      <w:numFmt w:val="none"/>
      <w:suff w:val="nothing"/>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paragraph" w:customStyle="1" w:styleId="Heading2">
    <w:name w:val="Heading 2"/>
    <w:basedOn w:val="Normal1"/>
    <w:next w:val="Normal1"/>
    <w:qFormat/>
    <w:pPr>
      <w:keepNext/>
      <w:keepLines/>
      <w:numPr>
        <w:ilvl w:val="1"/>
        <w:numId w:val="1"/>
      </w:numPr>
      <w:suppressAutoHyphens/>
      <w:spacing w:before="40" w:after="0"/>
      <w:outlineLvl w:val="1"/>
    </w:pPr>
    <w:rPr>
      <w:rFonts w:ascii="Calibri Light" w:eastAsia="Yu Gothic Light" w:hAnsi="Calibri Light"/>
      <w:color w:val="2F5496"/>
      <w:sz w:val="26"/>
      <w:szCs w:val="26"/>
    </w:rPr>
  </w:style>
  <w:style w:type="character" w:styleId="Hyperlink">
    <w:name w:val="Hyperlink"/>
    <w:basedOn w:val="DefaultParagraphFont"/>
    <w:qFormat/>
    <w:rPr>
      <w:color w:val="0563C1"/>
      <w:u w:val="single"/>
    </w:rPr>
  </w:style>
  <w:style w:type="character" w:customStyle="1"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qFormat/>
    <w:rPr>
      <w:color w:val="954F72"/>
      <w:u w:val="single"/>
    </w:rPr>
  </w:style>
  <w:style w:type="character" w:customStyle="1" w:styleId="Heading2Char">
    <w:name w:val="Heading 2 Char"/>
    <w:basedOn w:val="DefaultParagraphFont"/>
    <w:qFormat/>
    <w:rPr>
      <w:rFonts w:ascii="Calibri Light" w:eastAsia="Yu Gothic Light" w:hAnsi="Calibri Light" w:cs="Times New Roman"/>
      <w:color w:val="2F5496"/>
      <w:sz w:val="26"/>
      <w:szCs w:val="26"/>
    </w:rPr>
  </w:style>
  <w:style w:type="paragraph" w:customStyle="1" w:styleId="a">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Normal1">
    <w:name w:val="Normal1"/>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paragraph" w:styleId="ListParagraph">
    <w:name w:val="List Paragraph"/>
    <w:basedOn w:val="Normal1"/>
    <w:qFormat/>
    <w:pPr>
      <w:tabs>
        <w:tab w:val="clear" w:pos="720"/>
      </w:tabs>
      <w:suppressAutoHyphens/>
      <w:spacing w:before="0"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03fc58d536acbc0900eb2368dde504cc">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a19fa0bb6808b4b12e597aff52e2f813"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15ee5-8fd3-49be-9565-269b5c31e81a">
      <Terms xmlns="http://schemas.microsoft.com/office/infopath/2007/PartnerControls"/>
    </lcf76f155ced4ddcb4097134ff3c332f>
    <TaxCatchAll xmlns="22f695c2-b2dc-4df9-87ae-ad0467d1da7b" xsi:nil="true"/>
  </documentManagement>
</p:properties>
</file>

<file path=customXml/itemProps1.xml><?xml version="1.0" encoding="utf-8"?>
<ds:datastoreItem xmlns:ds="http://schemas.openxmlformats.org/officeDocument/2006/customXml" ds:itemID="{F4025018-A526-4C37-AE52-C0CCC50C7687}"/>
</file>

<file path=customXml/itemProps2.xml><?xml version="1.0" encoding="utf-8"?>
<ds:datastoreItem xmlns:ds="http://schemas.openxmlformats.org/officeDocument/2006/customXml" ds:itemID="{231EF8BE-F499-48F3-9EDB-60DC4642AF1A}"/>
</file>

<file path=customXml/itemProps3.xml><?xml version="1.0" encoding="utf-8"?>
<ds:datastoreItem xmlns:ds="http://schemas.openxmlformats.org/officeDocument/2006/customXml" ds:itemID="{ED93CF61-4684-41B6-985B-3810EA76ECE4}"/>
</file>

<file path=docProps/app.xml><?xml version="1.0" encoding="utf-8"?>
<Properties xmlns="http://schemas.openxmlformats.org/officeDocument/2006/extended-properties" xmlns:vt="http://schemas.openxmlformats.org/officeDocument/2006/docPropsVTypes">
  <TotalTime>0</TotalTime>
  <Pages>1</Pages>
  <Words>445</Words>
  <Characters>2543</Characters>
  <Application>Microsoft Office Word</Application>
  <DocSecurity>0</DocSecurity>
  <Lines>0</Lines>
  <Paragraphs>5</Paragraphs>
  <ScaleCrop>false</ScaleCrop>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2024-03-06T22:57:00Z</dcterms:created>
  <dc:creator>David Stoveld</dc:creator>
  <dc:description/>
  <dc:language>uk-UA</dc:language>
  <cp:lastModifiedBy>Mert Mazmanci</cp:lastModifiedBy>
  <dcterms:modified xsi:type="dcterms:W3CDTF">2024-03-06T22:57:00Z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c74c4dfe-7c94-44da-b366-dc41fb1da498</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2022-01-06T12:28:33Z</vt:lpwstr>
  </property>
  <property fmtid="{D5CDD505-2E9C-101B-9397-08002B2CF9AE}" pid="8" name="MSIP_Label_c50e751f-a0b2-413d-995d-abe80fb38978_SiteId">
    <vt:lpwstr>7d2ba175-3f46-48a8-aaba-30563a31b927</vt:lpwstr>
  </property>
  <property fmtid="{D5CDD505-2E9C-101B-9397-08002B2CF9AE}" pid="9" name="ContentTypeId">
    <vt:lpwstr>0x0101004DE19DEE23B9884E92D82BCF69B845EF</vt:lpwstr>
  </property>
</Properties>
</file>