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ore1.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openxmlformats.org/officedocument/2006/relationships/metadata/core-properties" Target="docProps/core1.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Style w:val="Normal1"/>
        <w:bidi w:val="0"/>
      </w:pPr>
      <w:r>
        <w:rPr>
          <w:rtl w:val="0"/>
          <w:lang w:val="fi"/>
        </w:rPr>
        <w:t>Shamrock Surprise pelisäännöt</w:t>
      </w:r>
    </w:p>
    <w:p>
      <w:pPr>
        <w:pStyle w:val="Normal1"/>
        <w:bidi w:val="0"/>
      </w:pPr>
      <w:r>
        <w:rPr>
          <w:rStyle w:val="DefaultParagraphFont"/>
          <w:b/>
          <w:bCs/>
          <w:rtl w:val="0"/>
          <w:lang w:val="fi"/>
        </w:rPr>
        <w:t>Shamrock Surprise</w:t>
      </w:r>
      <w:r>
        <w:rPr>
          <w:rtl w:val="0"/>
          <w:lang w:val="fi"/>
        </w:rPr>
        <w:t xml:space="preserve"> on 6-rullainen 4-rivinen 40 linjan peli, jossa on kertoimet, kertyvän kerroin ilmaiset pyöräytykset ja Linkkibonus.  </w:t>
      </w:r>
    </w:p>
    <w:p>
      <w:pPr>
        <w:pStyle w:val="Normal1"/>
        <w:bidi w:val="0"/>
      </w:pPr>
      <w:r>
        <w:rPr>
          <w:rStyle w:val="Emphasis"/>
          <w:rFonts w:cs="Calibri"/>
          <w:i w:val="0"/>
          <w:iCs w:val="0"/>
          <w:color w:val="242424"/>
          <w:shd w:val="clear" w:color="auto" w:fill="FFFFFF"/>
          <w:rtl w:val="0"/>
          <w:lang w:val="fi"/>
        </w:rPr>
        <w:t xml:space="preserve">Maksulinjat arvioidaan vasemmalta oikealle peräkkäisillä rullilla alkaen vasemmanlaitimmaisimmasta rullasta. </w:t>
      </w:r>
      <w:r>
        <w:rPr>
          <w:rStyle w:val="DefaultParagraphFont"/>
          <w:rFonts w:cs="Calibri"/>
          <w:rtl w:val="0"/>
          <w:lang w:val="fi"/>
        </w:rPr>
        <w:t xml:space="preserve">Ainoastaan </w:t>
      </w:r>
      <w:bookmarkStart w:id="0" w:name="_Hlk102050095"/>
      <w:r>
        <w:rPr>
          <w:rtl w:val="0"/>
          <w:lang w:val="fi"/>
        </w:rPr>
        <w:t xml:space="preserve">pisin yhteensopiva yhdistelmä voittolinjaa kohden maksetaan.  </w:t>
      </w:r>
      <w:r>
        <w:rPr>
          <w:rStyle w:val="Emphasis"/>
          <w:rFonts w:cs="Calibri"/>
          <w:i w:val="0"/>
          <w:iCs w:val="0"/>
          <w:color w:val="242424"/>
          <w:shd w:val="clear" w:color="auto" w:fill="FFFFFF"/>
          <w:rtl w:val="0"/>
          <w:lang w:val="fi"/>
        </w:rPr>
        <w:t xml:space="preserve">Samanaikaiset tai peräkkäiset voitot lisätään yhteen.  </w:t>
      </w:r>
      <w:bookmarkEnd w:id="0"/>
    </w:p>
    <w:p>
      <w:pPr>
        <w:pStyle w:val="Normal1"/>
        <w:bidi w:val="0"/>
        <w:rPr>
          <w:rFonts w:cs="Calibri"/>
          <w:color w:val="242424"/>
          <w:shd w:val="clear" w:color="auto" w:fill="FFFFFF"/>
        </w:rPr>
      </w:pPr>
      <w:r>
        <w:rPr>
          <w:rFonts w:cs="Calibri"/>
          <w:color w:val="242424"/>
          <w:shd w:val="clear" w:color="auto" w:fill="FFFFFF"/>
          <w:rtl w:val="0"/>
          <w:lang w:val="fi"/>
        </w:rPr>
        <w:t xml:space="preserve">Kaikki voitot tapahtuvat ainoastaan linjoilla, lukuun ottamatta bonus scatteria ja ilmaisen pyöräytyksen scatteria jotka palkitsevat, kun vähintään 3 samaa scatteria pysähtyy mihin tahansa.  </w:t>
      </w:r>
    </w:p>
    <w:p>
      <w:pPr>
        <w:pStyle w:val="Normal1"/>
        <w:keepNext/>
        <w:keepLines/>
        <w:numPr>
          <w:ilvl w:val="1"/>
          <w:numId w:val="1"/>
        </w:numPr>
        <w:tabs>
          <w:tab w:val="left" w:pos="0"/>
          <w:tab w:val="clear" w:pos="720"/>
        </w:tabs>
        <w:bidi w:val="0"/>
        <w:spacing w:before="40" w:after="0" w:line="240" w:lineRule="auto"/>
        <w:ind w:left="0" w:firstLine="0"/>
        <w:outlineLvl w:val="1"/>
        <w:rPr>
          <w:rFonts w:ascii="Calibri Light" w:eastAsia="Times New Roman" w:hAnsi="Calibri Light"/>
          <w:color w:val="2F5496"/>
          <w:sz w:val="26"/>
          <w:szCs w:val="26"/>
        </w:rPr>
      </w:pPr>
      <w:r>
        <w:rPr>
          <w:rFonts w:ascii="Calibri Light" w:eastAsia="Times New Roman" w:hAnsi="Calibri Light"/>
          <w:color w:val="2F5496"/>
          <w:sz w:val="26"/>
          <w:szCs w:val="26"/>
          <w:rtl w:val="0"/>
          <w:lang w:val="fi"/>
        </w:rPr>
        <w:t>Korkeat symbolikertoimet</w:t>
      </w:r>
    </w:p>
    <w:p>
      <w:pPr>
        <w:pStyle w:val="Normal1"/>
        <w:bidi w:val="0"/>
        <w:spacing w:line="240" w:lineRule="auto"/>
      </w:pPr>
      <w:r>
        <w:rPr>
          <w:rtl w:val="0"/>
          <w:lang w:val="fi"/>
        </w:rPr>
        <w:t>Kerroinominaisuus käynnistyy, kun mikä tahansa kolmesta korkeasta symbolista pysähtyy vähintään 3 peräkkäiselle sarakkeelle ollen voittava pyöräytys.  Kolme korkeaa symbolia ovat haltija, kultapata ja harppu.  Käynnistyttyään korkeat symbolit luovat satunnaisen kerroin nykyiselle voitolle.  Satunnainen kerroinalue riippuu ominaisuuden aikana pysähtyneiden täysien pinojen määrästä:</w:t>
      </w:r>
    </w:p>
    <w:p>
      <w:pPr>
        <w:pStyle w:val="Normal1"/>
        <w:bidi w:val="0"/>
        <w:spacing w:line="240" w:lineRule="auto"/>
      </w:pPr>
      <w:r>
        <w:rPr>
          <w:rtl w:val="0"/>
          <w:lang w:val="fi"/>
        </w:rPr>
        <w:t>Määrä</w:t>
        <w:tab/>
        <w:t>Kerroin</w:t>
      </w:r>
    </w:p>
    <w:p>
      <w:pPr>
        <w:pStyle w:val="Normal1"/>
        <w:bidi w:val="0"/>
        <w:spacing w:line="240" w:lineRule="auto"/>
      </w:pPr>
      <w:r>
        <w:rPr>
          <w:rtl w:val="0"/>
          <w:lang w:val="fi"/>
        </w:rPr>
        <w:t xml:space="preserve">3 täyttä pinoa </w:t>
        <w:tab/>
        <w:t>2x–4x</w:t>
      </w:r>
    </w:p>
    <w:p>
      <w:pPr>
        <w:pStyle w:val="Normal1"/>
        <w:bidi w:val="0"/>
        <w:spacing w:line="240" w:lineRule="auto"/>
      </w:pPr>
      <w:r>
        <w:rPr>
          <w:rtl w:val="0"/>
          <w:lang w:val="fi"/>
        </w:rPr>
        <w:t>4 täyttä pinoa</w:t>
        <w:tab/>
        <w:t>2x–5x</w:t>
      </w:r>
    </w:p>
    <w:p>
      <w:pPr>
        <w:pStyle w:val="Normal1"/>
        <w:bidi w:val="0"/>
        <w:spacing w:line="240" w:lineRule="auto"/>
      </w:pPr>
      <w:r>
        <w:rPr>
          <w:rtl w:val="0"/>
          <w:lang w:val="fi"/>
        </w:rPr>
        <w:t>5 täyttä pinoa</w:t>
        <w:tab/>
        <w:t>2x–6x</w:t>
      </w:r>
    </w:p>
    <w:p>
      <w:pPr>
        <w:pStyle w:val="Normal1"/>
        <w:bidi w:val="0"/>
        <w:spacing w:line="240" w:lineRule="auto"/>
      </w:pPr>
      <w:r>
        <w:rPr>
          <w:rtl w:val="0"/>
          <w:lang w:val="fi"/>
        </w:rPr>
        <w:t xml:space="preserve">6 täyttä pinoa </w:t>
        <w:tab/>
        <w:t>2x–7x</w:t>
      </w:r>
    </w:p>
    <w:p>
      <w:pPr>
        <w:pStyle w:val="Normal1"/>
        <w:bidi w:val="0"/>
        <w:spacing w:line="240" w:lineRule="auto"/>
      </w:pPr>
      <w:r>
        <w:rPr>
          <w:rtl w:val="0"/>
          <w:lang w:val="fi"/>
        </w:rPr>
        <w:t>Ominaisuuden kertoimia käytetään ainoastaan voittavilla linjoilla 40 linjalla eikä niitä siirretä bonus-tai ilmaisiin pyöräytyksiin.</w:t>
      </w:r>
    </w:p>
    <w:p>
      <w:pPr>
        <w:pStyle w:val="Normal1"/>
        <w:keepNext/>
        <w:keepLines/>
        <w:numPr>
          <w:ilvl w:val="1"/>
          <w:numId w:val="1"/>
        </w:numPr>
        <w:tabs>
          <w:tab w:val="left" w:pos="0"/>
          <w:tab w:val="clear" w:pos="720"/>
        </w:tabs>
        <w:spacing w:before="40" w:after="0" w:line="240" w:lineRule="auto"/>
        <w:ind w:left="0" w:firstLine="0"/>
        <w:outlineLvl w:val="1"/>
        <w:rPr>
          <w:rFonts w:ascii="Calibri Light" w:eastAsia="Times New Roman" w:hAnsi="Calibri Light"/>
          <w:color w:val="2F5496"/>
          <w:sz w:val="26"/>
          <w:szCs w:val="26"/>
        </w:rPr>
      </w:pPr>
    </w:p>
    <w:p>
      <w:pPr>
        <w:pStyle w:val="Normal1"/>
        <w:keepNext/>
        <w:keepLines/>
        <w:numPr>
          <w:ilvl w:val="1"/>
          <w:numId w:val="1"/>
        </w:numPr>
        <w:tabs>
          <w:tab w:val="left" w:pos="0"/>
          <w:tab w:val="clear" w:pos="720"/>
        </w:tabs>
        <w:bidi w:val="0"/>
        <w:spacing w:before="40" w:after="0" w:line="240" w:lineRule="auto"/>
        <w:ind w:left="0" w:firstLine="0"/>
        <w:outlineLvl w:val="1"/>
        <w:rPr>
          <w:rFonts w:ascii="Calibri Light" w:eastAsia="Times New Roman" w:hAnsi="Calibri Light"/>
          <w:color w:val="2F5496"/>
          <w:sz w:val="26"/>
          <w:szCs w:val="26"/>
        </w:rPr>
      </w:pPr>
      <w:r>
        <w:rPr>
          <w:rFonts w:ascii="Calibri Light" w:eastAsia="Times New Roman" w:hAnsi="Calibri Light"/>
          <w:color w:val="2F5496"/>
          <w:sz w:val="26"/>
          <w:szCs w:val="26"/>
          <w:rtl w:val="0"/>
          <w:lang w:val="fi"/>
        </w:rPr>
        <w:t>Onnenveto – korkeammat kertoimet</w:t>
      </w:r>
    </w:p>
    <w:p>
      <w:pPr>
        <w:pStyle w:val="Normal1"/>
        <w:bidi w:val="0"/>
        <w:spacing w:line="240" w:lineRule="auto"/>
      </w:pPr>
      <w:r>
        <w:rPr>
          <w:rtl w:val="0"/>
          <w:lang w:val="fi"/>
        </w:rPr>
        <w:t>Maksamalla 30 % lisäaloituspanoksen otetaan ominaisuuden aikana käyttöön lisätehoa korkeista symboleista.  Voittaessa täydellä vähintään 3 symbolin pinolla käynnistyy ominaisuus 100 % kerroista ja kerroinalueet paranevat seuraavasti:</w:t>
      </w:r>
    </w:p>
    <w:p>
      <w:pPr>
        <w:pStyle w:val="Normal1"/>
        <w:bidi w:val="0"/>
        <w:spacing w:line="240" w:lineRule="auto"/>
      </w:pPr>
      <w:r>
        <w:rPr>
          <w:rtl w:val="0"/>
          <w:lang w:val="fi"/>
        </w:rPr>
        <w:t>Määrä</w:t>
        <w:tab/>
        <w:t>Kerroin</w:t>
      </w:r>
    </w:p>
    <w:p>
      <w:pPr>
        <w:pStyle w:val="Normal1"/>
        <w:bidi w:val="0"/>
        <w:spacing w:line="240" w:lineRule="auto"/>
      </w:pPr>
      <w:r>
        <w:rPr>
          <w:rtl w:val="0"/>
          <w:lang w:val="fi"/>
        </w:rPr>
        <w:t xml:space="preserve">3 täyttä pinoa </w:t>
        <w:tab/>
        <w:t>3x–6x</w:t>
      </w:r>
    </w:p>
    <w:p>
      <w:pPr>
        <w:pStyle w:val="Normal1"/>
        <w:bidi w:val="0"/>
        <w:spacing w:line="240" w:lineRule="auto"/>
      </w:pPr>
      <w:r>
        <w:rPr>
          <w:rtl w:val="0"/>
          <w:lang w:val="fi"/>
        </w:rPr>
        <w:t>4 täyttä pinoa</w:t>
        <w:tab/>
        <w:t>3x–7x</w:t>
      </w:r>
    </w:p>
    <w:p>
      <w:pPr>
        <w:pStyle w:val="Normal1"/>
        <w:bidi w:val="0"/>
        <w:spacing w:line="240" w:lineRule="auto"/>
      </w:pPr>
      <w:r>
        <w:rPr>
          <w:rtl w:val="0"/>
          <w:lang w:val="fi"/>
        </w:rPr>
        <w:t>5 täyttä pinoa</w:t>
        <w:tab/>
        <w:t>3x–8x</w:t>
      </w:r>
    </w:p>
    <w:p>
      <w:pPr>
        <w:pStyle w:val="Normal1"/>
        <w:bidi w:val="0"/>
        <w:spacing w:line="240" w:lineRule="auto"/>
      </w:pPr>
      <w:r>
        <w:rPr>
          <w:rtl w:val="0"/>
          <w:lang w:val="fi"/>
        </w:rPr>
        <w:t xml:space="preserve">6 täyttä pinoa </w:t>
        <w:tab/>
        <w:t>3x–9x</w:t>
      </w:r>
    </w:p>
    <w:p>
      <w:pPr>
        <w:pStyle w:val="Normal1"/>
        <w:bidi w:val="0"/>
        <w:spacing w:line="240" w:lineRule="auto"/>
      </w:pPr>
      <w:r>
        <w:rPr>
          <w:rtl w:val="0"/>
          <w:lang w:val="fi"/>
        </w:rPr>
        <w:t>Ominaisuuden kertoimia käytetään ainoastaan voittavilla linjoilla 40 linjalla eikä niitä siirretä bonus-tai ilmaisiin pyöräytyksiin.  Onnenveto ei välttämättä ole saatavilla kaikilla markkinoilla.</w:t>
      </w:r>
    </w:p>
    <w:p>
      <w:pPr>
        <w:pStyle w:val="Normal1"/>
        <w:spacing w:line="240" w:lineRule="auto"/>
      </w:pPr>
    </w:p>
    <w:p>
      <w:pPr>
        <w:pStyle w:val="Heading2"/>
        <w:tabs>
          <w:tab w:val="left" w:pos="0"/>
          <w:tab w:val="clear" w:pos="720"/>
        </w:tabs>
        <w:bidi w:val="0"/>
        <w:ind w:left="0" w:firstLine="0"/>
      </w:pPr>
      <w:r>
        <w:rPr>
          <w:rtl w:val="0"/>
          <w:lang w:val="fi"/>
        </w:rPr>
        <w:t>Linkkibonus</w:t>
      </w:r>
    </w:p>
    <w:p>
      <w:pPr>
        <w:pStyle w:val="Normal1"/>
        <w:bidi w:val="0"/>
      </w:pPr>
      <w:r>
        <w:rPr>
          <w:rtl w:val="0"/>
          <w:lang w:val="fi"/>
        </w:rPr>
        <w:t>4 neljän scattersin pysähtyminen rullilla käynnistää Linkkibonuksen. Bonuksen käynnistävää palkintoa ei ole asetettu, mutta kaikki käynnistävät bonusscattersymbolit paljastavat satunnaisen krediitin tai muuttavat väriä paljastaakseen vastaavan palkintopadan voiton.  Kaikki muut symbolit katoavat ja bonus käynnistyy 3 aloitusuudelleenpyöräytyksen jälkeen jäljellä olevilla rullilla.  Jäljellä olevien uudelleenpyöräytysten määrä nollataan 3 joka kerta, kun vähintään yksi bonusscattersymboli lisää pysähtyy.  Jokainen pysähtyvä lisäscatter paljastaa myös krediittisumman tai vaihtaa väriään paljastaakseen vastaavan palkintopadan voiton.</w:t>
      </w:r>
    </w:p>
    <w:p>
      <w:pPr>
        <w:pStyle w:val="Normal1"/>
        <w:bidi w:val="0"/>
      </w:pPr>
      <w:r>
        <w:rPr>
          <w:rtl w:val="0"/>
          <w:lang w:val="fi"/>
        </w:rPr>
        <w:t>Jokaisen Shamrock-symbolin palkinnot sisältävät</w:t>
      </w:r>
    </w:p>
    <w:p>
      <w:pPr>
        <w:pStyle w:val="Normal1"/>
        <w:bidi w:val="0"/>
      </w:pPr>
      <w:r>
        <w:rPr>
          <w:rtl w:val="0"/>
          <w:lang w:val="fi"/>
        </w:rPr>
        <w:t>Satunnainen krediittisumma 1–10x</w:t>
      </w:r>
    </w:p>
    <w:p>
      <w:pPr>
        <w:pStyle w:val="Normal1"/>
        <w:bidi w:val="0"/>
      </w:pPr>
      <w:r>
        <w:rPr>
          <w:rtl w:val="0"/>
          <w:lang w:val="fi"/>
        </w:rPr>
        <w:t>Pieni palkintopata</w:t>
        <w:tab/>
        <w:t>20x</w:t>
      </w:r>
    </w:p>
    <w:p>
      <w:pPr>
        <w:pStyle w:val="Normal1"/>
        <w:bidi w:val="0"/>
      </w:pPr>
      <w:r>
        <w:rPr>
          <w:rtl w:val="0"/>
          <w:lang w:val="fi"/>
        </w:rPr>
        <w:t>Keskikokoinen palkintopata</w:t>
        <w:tab/>
        <w:t>50x</w:t>
      </w:r>
    </w:p>
    <w:p>
      <w:pPr>
        <w:pStyle w:val="Normal1"/>
        <w:bidi w:val="0"/>
      </w:pPr>
      <w:r>
        <w:rPr>
          <w:rtl w:val="0"/>
          <w:lang w:val="fi"/>
        </w:rPr>
        <w:t>Suuri palkintopata</w:t>
        <w:tab/>
        <w:t>100x</w:t>
      </w:r>
    </w:p>
    <w:p>
      <w:pPr>
        <w:pStyle w:val="Normal1"/>
        <w:bidi w:val="0"/>
      </w:pPr>
      <w:r>
        <w:rPr>
          <w:rtl w:val="0"/>
          <w:lang w:val="fi"/>
        </w:rPr>
        <w:t>Ilmaiset pyöräytykset päättyvät, kun uudelleenpyöräytyksiä ei ole jäljellä, tai kun kaikki 24 paikkaa on täytetty.  Jos kaikki 24 paikkaa on täytetty, ylimääräinen 1 000x voitetaan muiden bonuksen aikana kertyneiden palkintojen lisäksi.  Kaikki palkintopadat voidaan voittaa useammin kuin kerran. 1 000x palkinnon voi voittaa ainoastaan kerran, jos kaikki paikat on täytetty.</w:t>
      </w:r>
    </w:p>
    <w:p>
      <w:pPr>
        <w:pStyle w:val="Heading2"/>
        <w:tabs>
          <w:tab w:val="left" w:pos="0"/>
          <w:tab w:val="clear" w:pos="720"/>
        </w:tabs>
        <w:bidi w:val="0"/>
        <w:ind w:left="0" w:firstLine="0"/>
        <w:rPr>
          <w:lang w:val="en-US"/>
        </w:rPr>
      </w:pPr>
      <w:r>
        <w:rPr>
          <w:rtl w:val="0"/>
          <w:lang w:val="fi"/>
        </w:rPr>
        <w:t>Ilmaiset pyöräytykset</w:t>
      </w:r>
    </w:p>
    <w:p>
      <w:pPr>
        <w:pStyle w:val="Normal1"/>
        <w:bidi w:val="0"/>
      </w:pPr>
      <w:r>
        <w:rPr>
          <w:rStyle w:val="DefaultParagraphFont"/>
          <w:rtl w:val="0"/>
          <w:lang w:val="fi"/>
        </w:rPr>
        <w:t xml:space="preserve">3 ilmaisen pyöräytyksen scattersymbolin pysähtyminen käynnistää ilmaisten pyöräytysten bonuksen. 3 korkean symbolin ilmestyessä rullille jokaisella pyöräytyksellä palkitaan 5 ilmaisella pyöräytyksellä erityisen pitkillä pinoilla.  Edellä kuvattu ominaisuus käynnistyy aina vähintään 3 täyden pinon pysähtyessä voittavalla symbolilla ja jokaiselta pyöräytykseltä palkittu kerroin pysyy ilmaisten pyöräytysten läpi.  Kerroin kertyy ominaisuuden ajan ja nollautuu, kun ilmaiset pyöräytykset päättyvät.  Onnenpanos ei ole voimassa ilmaisten pyöräytysten aikana.  </w:t>
      </w:r>
      <w:r>
        <w:rPr>
          <w:rStyle w:val="DefaultParagraphFont"/>
          <w:rFonts w:cs="Calibri"/>
          <w:color w:val="242424"/>
          <w:shd w:val="clear" w:color="auto" w:fill="FFFFFF"/>
          <w:rtl w:val="0"/>
          <w:lang w:val="fi"/>
        </w:rPr>
        <w:t>Ilmaisten pyöräytysten scattersit eivät palkitse maksuilla.</w:t>
      </w:r>
      <w:r>
        <w:rPr>
          <w:rStyle w:val="DefaultParagraphFont"/>
          <w:rtl w:val="0"/>
          <w:lang w:val="fi"/>
        </w:rPr>
        <w:t xml:space="preserve">  Ilmaisia pyöräytyksiä ei voi käynnistää uudelleen.  Ilmaiset pyöräytykset maksetaan ilmaisia pyöräytyksiä edeltäneen panoksen mukaan.  </w:t>
      </w:r>
    </w:p>
    <w:p>
      <w:pPr>
        <w:pStyle w:val="Normal1"/>
        <w:bidi w:val="0"/>
      </w:pPr>
      <w:r>
        <w:rPr>
          <w:rStyle w:val="DefaultParagraphFont"/>
          <w:rFonts w:cs="Calibri"/>
          <w:color w:val="242424"/>
          <w:shd w:val="clear" w:color="auto" w:fill="FFFFFF"/>
          <w:rtl w:val="0"/>
          <w:lang w:val="fi"/>
        </w:rPr>
        <w:t>Linkkibonuksen ja ilmaisten pyöräytysten käynnistäminen samalla pyöräytyksellä ei ole mahdollista.</w:t>
      </w:r>
    </w:p>
    <w:p>
      <w:pPr>
        <w:pStyle w:val="Normal1"/>
        <w:rPr>
          <w:lang w:val="en-US"/>
        </w:rPr>
      </w:pPr>
    </w:p>
    <w:p>
      <w:pPr>
        <w:pStyle w:val="Heading2"/>
        <w:tabs>
          <w:tab w:val="left" w:pos="0"/>
          <w:tab w:val="clear" w:pos="720"/>
        </w:tabs>
        <w:bidi w:val="0"/>
        <w:ind w:left="0" w:firstLine="0"/>
      </w:pPr>
      <w:r>
        <w:rPr>
          <w:rtl w:val="0"/>
          <w:lang w:val="fi"/>
        </w:rPr>
        <w:t>Ostobonus</w:t>
      </w:r>
    </w:p>
    <w:p>
      <w:pPr>
        <w:pStyle w:val="Normal1"/>
        <w:bidi w:val="0"/>
      </w:pPr>
      <w:r>
        <w:rPr>
          <w:rtl w:val="0"/>
          <w:lang w:val="fi"/>
        </w:rPr>
        <w:t xml:space="preserve">Siirry vahvistusnäytölle painamalla Ostobonus-painiketta.  Onnenpanos poistetaan automaattisesti käytöstä, kun siirrytään ostobonuksen vahvistusnäyttöön ja oletuspanos näyttää nykyisen panoksen ilman lisäpanoksia onnenpanoksesta.   Valitse bonuksen panos ja paina "Osta" vahvistaaksesi panoksen ja siirtyäksesi automaattisesti Linkkibonukseen.  </w:t>
      </w:r>
      <w:r>
        <w:rPr>
          <w:rStyle w:val="DefaultParagraphFont"/>
          <w:rFonts w:cs="Calibri"/>
          <w:color w:val="242424"/>
          <w:shd w:val="clear" w:color="auto" w:fill="FFFFFF"/>
          <w:rtl w:val="0"/>
          <w:lang w:val="fi"/>
        </w:rPr>
        <w:t>Osto-ominaisuus ei välttämättä ole saatavilla kaikilla markkinoilla.</w:t>
      </w:r>
    </w:p>
    <w:p>
      <w:pPr>
        <w:pStyle w:val="Normal1"/>
        <w:rPr>
          <w:lang w:val="en-US"/>
        </w:rPr>
      </w:pPr>
    </w:p>
    <w:p>
      <w:pPr>
        <w:pStyle w:val="Heading2"/>
        <w:tabs>
          <w:tab w:val="left" w:pos="0"/>
          <w:tab w:val="clear" w:pos="720"/>
        </w:tabs>
        <w:bidi w:val="0"/>
        <w:ind w:left="0" w:firstLine="0"/>
      </w:pPr>
      <w:r>
        <w:rPr>
          <w:rtl w:val="0"/>
          <w:lang w:val="fi"/>
        </w:rPr>
        <w:t>Pelin RTP</w:t>
      </w:r>
    </w:p>
    <w:p>
      <w:pPr>
        <w:pStyle w:val="Normal1"/>
        <w:bidi w:val="0"/>
      </w:pPr>
      <w:r>
        <w:rPr>
          <w:rtl w:val="0"/>
          <w:lang w:val="fi"/>
        </w:rPr>
        <w:t>Normaalin pelin teoreettinen RTP ilman onnenpanosta on 93,99 %.  Onnenpanoksella pelin teoreettinen RTP on 94,19 %.  Ostobonuksella pelin teoreettinen RTP on 93,78 %</w:t>
      </w:r>
    </w:p>
    <w:p>
      <w:pPr>
        <w:pStyle w:val="Normal1"/>
      </w:pPr>
    </w:p>
    <w:sectPr>
      <w:type w:val="nextPage"/>
      <w:pgSz w:w="11906" w:h="16838"/>
      <w:pgMar w:top="1440" w:right="1440" w:bottom="1440" w:left="1440" w:header="0" w:footer="0" w:gutter="0"/>
      <w:pgNumType w:fmt="decimal"/>
      <w:cols w:space="708"/>
      <w:formProt w:val="0"/>
      <w:textDirection w:val="lrTb"/>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Calibri Light">
    <w:charset w:val="CC"/>
    <w:family w:val="swiss"/>
    <w:pitch w:val="variable"/>
  </w:font>
  <w:font w:name="Liberation Sans">
    <w:altName w:val="Arial"/>
    <w:charset w:val="CC"/>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40794B"/>
    <w:multiLevelType w:val="hybridMultilevel"/>
    <w:tmpl w:val="00000000"/>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widowControl/>
        <w:suppressAutoHyphens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val="0"/>
      <w:keepLines w:val="0"/>
      <w:pageBreakBefore w:val="0"/>
      <w:widowControl/>
      <w:shd w:val="clear" w:color="auto" w:fill="auto"/>
      <w:kinsoku/>
      <w:overflowPunct/>
      <w:autoSpaceDE/>
      <w:bidi w:val="0"/>
      <w:snapToGrid/>
      <w:spacing w:before="0" w:after="160" w:line="240" w:lineRule="auto"/>
      <w:jc w:val="left"/>
      <w:textAlignment w:val="auto"/>
    </w:pPr>
    <w:rPr>
      <w:rFonts w:ascii="Calibri" w:eastAsia="Calibri" w:hAnsi="Calibri" w:cs="Times New Roman"/>
      <w:b w:val="0"/>
      <w:bCs w:val="0"/>
      <w:i w:val="0"/>
      <w:iCs w:val="0"/>
      <w:caps w:val="0"/>
      <w:smallCaps w:val="0"/>
      <w:strike w:val="0"/>
      <w:dstrike w:val="0"/>
      <w:outline w:val="0"/>
      <w:emboss w:val="0"/>
      <w:imprint w:val="0"/>
      <w:color w:val="auto"/>
      <w:spacing w:val="0"/>
      <w:w w:val="100"/>
      <w:kern w:val="0"/>
      <w:position w:val="0"/>
      <w:sz w:val="22"/>
      <w:szCs w:val="22"/>
      <w:u w:val="none"/>
      <w:shd w:val="clear" w:color="auto" w:fill="auto"/>
      <w:vertAlign w:val="baseline"/>
      <w:lang w:val="en-GB" w:eastAsia="en-US" w:bidi="ar-SA"/>
    </w:rPr>
  </w:style>
  <w:style w:type="character" w:default="1" w:styleId="DefaultParagraphFont">
    <w:name w:val="Default Paragraph Font"/>
    <w:qFormat/>
  </w:style>
  <w:style w:type="paragraph" w:customStyle="1" w:styleId="Heading1">
    <w:name w:val="Heading 1"/>
    <w:basedOn w:val="Normal1"/>
    <w:next w:val="Normal1"/>
    <w:qFormat/>
    <w:pPr>
      <w:keepNext/>
      <w:keepLines/>
      <w:numPr>
        <w:ilvl w:val="0"/>
        <w:numId w:val="1"/>
      </w:numPr>
      <w:suppressAutoHyphens/>
      <w:spacing w:before="240" w:after="0"/>
      <w:outlineLvl w:val="0"/>
    </w:pPr>
    <w:rPr>
      <w:rFonts w:ascii="Calibri Light" w:eastAsia="Times New Roman" w:hAnsi="Calibri Light"/>
      <w:color w:val="2F5496"/>
      <w:sz w:val="32"/>
      <w:szCs w:val="32"/>
    </w:rPr>
  </w:style>
  <w:style w:type="paragraph" w:customStyle="1" w:styleId="Heading2">
    <w:name w:val="Heading 2"/>
    <w:basedOn w:val="Normal1"/>
    <w:next w:val="Normal1"/>
    <w:qFormat/>
    <w:pPr>
      <w:keepNext/>
      <w:keepLines/>
      <w:numPr>
        <w:ilvl w:val="1"/>
        <w:numId w:val="1"/>
      </w:numPr>
      <w:suppressAutoHyphens/>
      <w:spacing w:before="40" w:after="0"/>
      <w:outlineLvl w:val="1"/>
    </w:pPr>
    <w:rPr>
      <w:rFonts w:ascii="Calibri Light" w:eastAsia="Times New Roman" w:hAnsi="Calibri Light"/>
      <w:color w:val="2F5496"/>
      <w:sz w:val="26"/>
      <w:szCs w:val="26"/>
    </w:rPr>
  </w:style>
  <w:style w:type="character" w:customStyle="1" w:styleId="Heading2Char">
    <w:name w:val="Heading 2 Char"/>
    <w:basedOn w:val="DefaultParagraphFont"/>
    <w:qFormat/>
    <w:rPr>
      <w:rFonts w:ascii="Calibri Light" w:eastAsia="Times New Roman" w:hAnsi="Calibri Light" w:cs="Times New Roman"/>
      <w:color w:val="2F5496"/>
      <w:sz w:val="26"/>
      <w:szCs w:val="26"/>
    </w:rPr>
  </w:style>
  <w:style w:type="character" w:styleId="Emphasis">
    <w:name w:val="Emphasis"/>
    <w:basedOn w:val="DefaultParagraphFont"/>
    <w:qFormat/>
    <w:rPr>
      <w:i/>
      <w:iCs/>
    </w:rPr>
  </w:style>
  <w:style w:type="character" w:customStyle="1" w:styleId="Heading1Char">
    <w:name w:val="Heading 1 Char"/>
    <w:basedOn w:val="DefaultParagraphFont"/>
    <w:qFormat/>
    <w:rPr>
      <w:rFonts w:ascii="Calibri Light" w:eastAsia="Times New Roman" w:hAnsi="Calibri Light" w:cs="Times New Roman"/>
      <w:color w:val="2F5496"/>
      <w:sz w:val="32"/>
      <w:szCs w:val="32"/>
    </w:rPr>
  </w:style>
  <w:style w:type="paragraph" w:customStyle="1" w:styleId="a">
    <w:name w:val="Заголовок"/>
    <w:basedOn w:val="Normal"/>
    <w:next w:val="BodyText"/>
    <w:qFormat/>
    <w:pPr>
      <w:keepNext/>
      <w:spacing w:before="240" w:after="120"/>
    </w:pPr>
    <w:rPr>
      <w:rFonts w:ascii="Liberation Sans" w:eastAsia="MS Gothic" w:hAnsi="Liberation Sans" w:cs="Tahoma"/>
      <w:sz w:val="28"/>
      <w:szCs w:val="28"/>
    </w:rPr>
  </w:style>
  <w:style w:type="paragraph" w:styleId="BodyText">
    <w:name w:val="Body Text"/>
    <w:basedOn w:val="Normal"/>
    <w:pPr>
      <w:spacing w:before="0" w:after="140" w:line="276" w:lineRule="auto"/>
    </w:pPr>
  </w:style>
  <w:style w:type="paragraph" w:customStyle="1" w:styleId="Normal1">
    <w:name w:val="Normal1"/>
    <w:qFormat/>
    <w:pPr>
      <w:keepNext w:val="0"/>
      <w:keepLines w:val="0"/>
      <w:pageBreakBefore w:val="0"/>
      <w:widowControl/>
      <w:shd w:val="clear" w:color="auto" w:fill="auto"/>
      <w:suppressAutoHyphens/>
      <w:kinsoku/>
      <w:overflowPunct/>
      <w:autoSpaceDE/>
      <w:bidi w:val="0"/>
      <w:snapToGrid/>
      <w:spacing w:before="0" w:after="160" w:line="240" w:lineRule="auto"/>
      <w:jc w:val="left"/>
      <w:textAlignment w:val="auto"/>
    </w:pPr>
    <w:rPr>
      <w:rFonts w:ascii="Calibri" w:eastAsia="Calibri" w:hAnsi="Calibri" w:cs="Times New Roman"/>
      <w:b w:val="0"/>
      <w:bCs w:val="0"/>
      <w:i w:val="0"/>
      <w:iCs w:val="0"/>
      <w:caps w:val="0"/>
      <w:smallCaps w:val="0"/>
      <w:strike w:val="0"/>
      <w:dstrike w:val="0"/>
      <w:outline w:val="0"/>
      <w:emboss w:val="0"/>
      <w:imprint w:val="0"/>
      <w:color w:val="auto"/>
      <w:spacing w:val="0"/>
      <w:w w:val="100"/>
      <w:kern w:val="0"/>
      <w:position w:val="0"/>
      <w:sz w:val="22"/>
      <w:szCs w:val="22"/>
      <w:u w:val="none"/>
      <w:shd w:val="clear" w:color="auto" w:fill="auto"/>
      <w:vertAlign w:val="baseline"/>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numbering" Target="numbering.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E19DEE23B9884E92D82BCF69B845EF" ma:contentTypeVersion="17" ma:contentTypeDescription="Create a new document." ma:contentTypeScope="" ma:versionID="03fc58d536acbc0900eb2368dde504cc">
  <xsd:schema xmlns:xsd="http://www.w3.org/2001/XMLSchema" xmlns:xs="http://www.w3.org/2001/XMLSchema" xmlns:p="http://schemas.microsoft.com/office/2006/metadata/properties" xmlns:ns2="22f695c2-b2dc-4df9-87ae-ad0467d1da7b" xmlns:ns3="7a315ee5-8fd3-49be-9565-269b5c31e81a" targetNamespace="http://schemas.microsoft.com/office/2006/metadata/properties" ma:root="true" ma:fieldsID="a19fa0bb6808b4b12e597aff52e2f813" ns2:_="" ns3:_="">
    <xsd:import namespace="22f695c2-b2dc-4df9-87ae-ad0467d1da7b"/>
    <xsd:import namespace="7a315ee5-8fd3-49be-9565-269b5c31e8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695c2-b2dc-4df9-87ae-ad0467d1da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c64df7-5fe1-4872-8e08-de13882521d5}" ma:internalName="TaxCatchAll" ma:showField="CatchAllData" ma:web="22f695c2-b2dc-4df9-87ae-ad0467d1da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315ee5-8fd3-49be-9565-269b5c31e8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707f21-cf68-4afa-8119-95b081c4720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315ee5-8fd3-49be-9565-269b5c31e81a">
      <Terms xmlns="http://schemas.microsoft.com/office/infopath/2007/PartnerControls"/>
    </lcf76f155ced4ddcb4097134ff3c332f>
    <TaxCatchAll xmlns="22f695c2-b2dc-4df9-87ae-ad0467d1da7b" xsi:nil="true"/>
  </documentManagement>
</p:properties>
</file>

<file path=customXml/itemProps1.xml><?xml version="1.0" encoding="utf-8"?>
<ds:datastoreItem xmlns:ds="http://schemas.openxmlformats.org/officeDocument/2006/customXml" ds:itemID="{2F5817B5-6E3A-404D-85DA-87A95A0C29F4}"/>
</file>

<file path=customXml/itemProps2.xml><?xml version="1.0" encoding="utf-8"?>
<ds:datastoreItem xmlns:ds="http://schemas.openxmlformats.org/officeDocument/2006/customXml" ds:itemID="{170B1B07-AFAC-4BDF-BD3E-8F58CB6632E2}"/>
</file>

<file path=customXml/itemProps3.xml><?xml version="1.0" encoding="utf-8"?>
<ds:datastoreItem xmlns:ds="http://schemas.openxmlformats.org/officeDocument/2006/customXml" ds:itemID="{01F5F212-9AAC-4BEE-A0A2-226EFBED868E}"/>
</file>

<file path=docProps/app.xml><?xml version="1.0" encoding="utf-8"?>
<Properties xmlns="http://schemas.openxmlformats.org/officeDocument/2006/extended-properties" xmlns:vt="http://schemas.openxmlformats.org/officeDocument/2006/docPropsVTypes">
  <TotalTime>0</TotalTime>
  <Pages>1</Pages>
  <Words>638</Words>
  <Characters>3642</Characters>
  <Application>Microsoft Office Word</Application>
  <DocSecurity>0</DocSecurity>
  <Lines>0</Lines>
  <Paragraphs>8</Paragraphs>
  <ScaleCrop>false</ScaleCrop>
  <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2024-01-19T10:53:00Z</dcterms:created>
  <dc:creator>David Stoveld</dc:creator>
  <dc:description/>
  <dc:language>uk-UA</dc:language>
  <cp:lastModifiedBy>Tetiana Lytvynenko</cp:lastModifiedBy>
  <dcterms:modified xsi:type="dcterms:W3CDTF">2024-01-19T10:53:00Z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0e751f-a0b2-413d-995d-abe80fb38978_ActionId">
    <vt:lpwstr>25f20a26-a704-4c88-a82c-bf8c8984ff54</vt:lpwstr>
  </property>
  <property fmtid="{D5CDD505-2E9C-101B-9397-08002B2CF9AE}" pid="3" name="MSIP_Label_c50e751f-a0b2-413d-995d-abe80fb38978_ContentBits">
    <vt:lpwstr>0</vt:lpwstr>
  </property>
  <property fmtid="{D5CDD505-2E9C-101B-9397-08002B2CF9AE}" pid="4" name="MSIP_Label_c50e751f-a0b2-413d-995d-abe80fb38978_Enabled">
    <vt:lpwstr>true</vt:lpwstr>
  </property>
  <property fmtid="{D5CDD505-2E9C-101B-9397-08002B2CF9AE}" pid="5" name="MSIP_Label_c50e751f-a0b2-413d-995d-abe80fb38978_Method">
    <vt:lpwstr>Standard</vt:lpwstr>
  </property>
  <property fmtid="{D5CDD505-2E9C-101B-9397-08002B2CF9AE}" pid="6" name="MSIP_Label_c50e751f-a0b2-413d-995d-abe80fb38978_Name">
    <vt:lpwstr>c50e751f-a0b2-413d-995d-abe80fb38978</vt:lpwstr>
  </property>
  <property fmtid="{D5CDD505-2E9C-101B-9397-08002B2CF9AE}" pid="7" name="MSIP_Label_c50e751f-a0b2-413d-995d-abe80fb38978_SetDate">
    <vt:lpwstr>2022-04-01T16:15:53Z</vt:lpwstr>
  </property>
  <property fmtid="{D5CDD505-2E9C-101B-9397-08002B2CF9AE}" pid="8" name="MSIP_Label_c50e751f-a0b2-413d-995d-abe80fb38978_SiteId">
    <vt:lpwstr>7d2ba175-3f46-48a8-aaba-30563a31b927</vt:lpwstr>
  </property>
  <property fmtid="{D5CDD505-2E9C-101B-9397-08002B2CF9AE}" pid="9" name="ContentTypeId">
    <vt:lpwstr>0x0101004DE19DEE23B9884E92D82BCF69B845EF</vt:lpwstr>
  </property>
</Properties>
</file>